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28CA4" w14:textId="77777777" w:rsidR="008E183C" w:rsidRPr="008E183C" w:rsidRDefault="008E183C" w:rsidP="008E183C">
      <w:pPr>
        <w:shd w:val="clear" w:color="auto" w:fill="FFFFFF"/>
        <w:spacing w:before="450" w:after="150" w:line="450" w:lineRule="atLeast"/>
        <w:rPr>
          <w:rFonts w:ascii="montserratregular" w:eastAsia="Times New Roman" w:hAnsi="montserratregular" w:cs="Arial"/>
          <w:color w:val="339A3F"/>
          <w:sz w:val="38"/>
          <w:szCs w:val="38"/>
          <w:lang w:eastAsia="es-MX"/>
        </w:rPr>
      </w:pPr>
      <w:r w:rsidRPr="008E183C">
        <w:rPr>
          <w:rFonts w:ascii="montserratregular" w:eastAsia="Times New Roman" w:hAnsi="montserratregular" w:cs="Arial"/>
          <w:color w:val="339A3F"/>
          <w:sz w:val="38"/>
          <w:szCs w:val="38"/>
          <w:lang w:eastAsia="es-MX"/>
        </w:rPr>
        <w:t>¿Qué son las </w:t>
      </w:r>
      <w:r w:rsidRPr="008E183C">
        <w:rPr>
          <w:rFonts w:ascii="montserratbold" w:eastAsia="Times New Roman" w:hAnsi="montserratbold" w:cs="Arial"/>
          <w:color w:val="339A3F"/>
          <w:sz w:val="45"/>
          <w:szCs w:val="45"/>
          <w:lang w:eastAsia="es-MX"/>
        </w:rPr>
        <w:t>Tasas efectivas de Impuesto sobre la Renta de Grandes Contribuyentes?</w:t>
      </w:r>
    </w:p>
    <w:p w14:paraId="077A3F88" w14:textId="77777777" w:rsidR="008E183C" w:rsidRPr="008E183C" w:rsidRDefault="008E183C" w:rsidP="008E183C">
      <w:pPr>
        <w:shd w:val="clear" w:color="auto" w:fill="FFFFFF"/>
        <w:spacing w:after="0" w:line="240" w:lineRule="auto"/>
        <w:rPr>
          <w:rFonts w:ascii="Arial" w:eastAsia="Times New Roman" w:hAnsi="Arial" w:cs="Arial"/>
          <w:color w:val="4E4E4E"/>
          <w:sz w:val="21"/>
          <w:szCs w:val="21"/>
          <w:lang w:eastAsia="es-MX"/>
        </w:rPr>
      </w:pPr>
    </w:p>
    <w:p w14:paraId="77E3F09C" w14:textId="53364406" w:rsidR="008E183C" w:rsidRPr="008E183C" w:rsidRDefault="008E183C" w:rsidP="008E183C">
      <w:pPr>
        <w:shd w:val="clear" w:color="auto" w:fill="FFFFFF"/>
        <w:spacing w:after="0" w:line="240" w:lineRule="auto"/>
        <w:jc w:val="center"/>
        <w:rPr>
          <w:rFonts w:ascii="Arial" w:eastAsia="Times New Roman" w:hAnsi="Arial" w:cs="Arial"/>
          <w:color w:val="4E4E4E"/>
          <w:sz w:val="21"/>
          <w:szCs w:val="21"/>
          <w:lang w:eastAsia="es-MX"/>
        </w:rPr>
      </w:pPr>
      <w:r w:rsidRPr="008E183C">
        <w:rPr>
          <w:rFonts w:ascii="Arial" w:eastAsia="Times New Roman" w:hAnsi="Arial" w:cs="Arial"/>
          <w:color w:val="4E4E4E"/>
          <w:sz w:val="21"/>
          <w:szCs w:val="21"/>
          <w:lang w:eastAsia="es-MX"/>
        </w:rPr>
        <w:br/>
      </w:r>
      <w:r w:rsidRPr="008E183C">
        <w:rPr>
          <w:rFonts w:ascii="Arial" w:eastAsia="Times New Roman" w:hAnsi="Arial" w:cs="Arial"/>
          <w:color w:val="4E4E4E"/>
          <w:sz w:val="21"/>
          <w:szCs w:val="21"/>
          <w:lang w:eastAsia="es-MX"/>
        </w:rPr>
        <w:br/>
      </w:r>
      <w:r w:rsidRPr="008E183C">
        <w:rPr>
          <w:rFonts w:ascii="Arial" w:eastAsia="Times New Roman" w:hAnsi="Arial" w:cs="Arial"/>
          <w:noProof/>
          <w:color w:val="4E4E4E"/>
          <w:sz w:val="21"/>
          <w:szCs w:val="21"/>
          <w:lang w:eastAsia="es-MX"/>
        </w:rPr>
        <w:drawing>
          <wp:inline distT="0" distB="0" distL="0" distR="0" wp14:anchorId="2FB92E57" wp14:editId="1E58E42D">
            <wp:extent cx="3752850" cy="2085975"/>
            <wp:effectExtent l="0" t="0" r="0" b="0"/>
            <wp:docPr id="1"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 Flecha&#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52850" cy="2085975"/>
                    </a:xfrm>
                    <a:prstGeom prst="rect">
                      <a:avLst/>
                    </a:prstGeom>
                    <a:noFill/>
                    <a:ln>
                      <a:noFill/>
                    </a:ln>
                  </pic:spPr>
                </pic:pic>
              </a:graphicData>
            </a:graphic>
          </wp:inline>
        </w:drawing>
      </w:r>
    </w:p>
    <w:p w14:paraId="7E929751" w14:textId="77777777" w:rsidR="008E183C" w:rsidRPr="008E183C" w:rsidRDefault="008E183C" w:rsidP="008E183C">
      <w:pPr>
        <w:shd w:val="clear" w:color="auto" w:fill="FFFFFF"/>
        <w:spacing w:after="0" w:line="240" w:lineRule="auto"/>
        <w:rPr>
          <w:rFonts w:ascii="montserratregular" w:eastAsia="Times New Roman" w:hAnsi="montserratregular" w:cs="Times New Roman"/>
          <w:color w:val="4E4E4E"/>
          <w:sz w:val="21"/>
          <w:szCs w:val="21"/>
          <w:lang w:eastAsia="es-MX"/>
        </w:rPr>
      </w:pPr>
      <w:r w:rsidRPr="008E183C">
        <w:rPr>
          <w:rFonts w:ascii="montserratregular" w:eastAsia="Times New Roman" w:hAnsi="montserratregular" w:cs="Times New Roman"/>
          <w:color w:val="4E4E4E"/>
          <w:sz w:val="21"/>
          <w:szCs w:val="21"/>
          <w:lang w:eastAsia="es-MX"/>
        </w:rPr>
        <w:br/>
      </w:r>
    </w:p>
    <w:p w14:paraId="58C3E800" w14:textId="77777777" w:rsidR="008E183C" w:rsidRPr="008E183C" w:rsidRDefault="008E183C" w:rsidP="008E183C">
      <w:pPr>
        <w:shd w:val="clear" w:color="auto" w:fill="FFFFFF"/>
        <w:spacing w:after="150" w:line="351" w:lineRule="atLeast"/>
        <w:rPr>
          <w:rFonts w:ascii="montserratregular" w:eastAsia="Times New Roman" w:hAnsi="montserratregular" w:cs="Times New Roman"/>
          <w:color w:val="303030"/>
          <w:sz w:val="27"/>
          <w:szCs w:val="27"/>
          <w:lang w:eastAsia="es-MX"/>
        </w:rPr>
      </w:pPr>
      <w:r w:rsidRPr="008E183C">
        <w:rPr>
          <w:rFonts w:ascii="montserratregular" w:eastAsia="Times New Roman" w:hAnsi="montserratregular" w:cs="Times New Roman"/>
          <w:color w:val="303030"/>
          <w:sz w:val="27"/>
          <w:szCs w:val="27"/>
          <w:lang w:eastAsia="es-MX"/>
        </w:rPr>
        <w:t>El Servicio de Administración Tributaria (SAT) tiene la responsabilidad de aplicar la legislación fiscal y aduanera, con el fin de facilitar e incentivar el cumplimiento voluntario de las personas físicas y morales.</w:t>
      </w:r>
      <w:r w:rsidRPr="008E183C">
        <w:rPr>
          <w:rFonts w:ascii="montserratregular" w:eastAsia="Times New Roman" w:hAnsi="montserratregular" w:cs="Times New Roman"/>
          <w:color w:val="303030"/>
          <w:sz w:val="27"/>
          <w:szCs w:val="27"/>
          <w:lang w:eastAsia="es-MX"/>
        </w:rPr>
        <w:br/>
      </w:r>
      <w:r w:rsidRPr="008E183C">
        <w:rPr>
          <w:rFonts w:ascii="montserratregular" w:eastAsia="Times New Roman" w:hAnsi="montserratregular" w:cs="Times New Roman"/>
          <w:color w:val="303030"/>
          <w:sz w:val="27"/>
          <w:szCs w:val="27"/>
          <w:lang w:eastAsia="es-MX"/>
        </w:rPr>
        <w:br/>
        <w:t>El pasado ocho de diciembre del 2020 se publicó en el Diario Oficial de la Federación (DOF) una reforma al Código Fiscal de la Federación (CFF) en su artículo 33, primer párrafo, fracción I, inciso i que estipula lo siguiente:</w:t>
      </w:r>
    </w:p>
    <w:p w14:paraId="6EA81F4A" w14:textId="77777777" w:rsidR="008E183C" w:rsidRPr="008E183C" w:rsidRDefault="008E183C" w:rsidP="008E183C">
      <w:pPr>
        <w:shd w:val="clear" w:color="auto" w:fill="FFFFFF"/>
        <w:spacing w:after="150" w:line="240" w:lineRule="auto"/>
        <w:ind w:left="525" w:right="75"/>
        <w:rPr>
          <w:rFonts w:ascii="montserratregular" w:eastAsia="Times New Roman" w:hAnsi="montserratregular" w:cs="Times New Roman"/>
          <w:i/>
          <w:iCs/>
          <w:color w:val="4E4E4E"/>
          <w:sz w:val="21"/>
          <w:szCs w:val="21"/>
          <w:lang w:eastAsia="es-MX"/>
        </w:rPr>
      </w:pPr>
      <w:r w:rsidRPr="008E183C">
        <w:rPr>
          <w:rFonts w:ascii="montserratregular" w:eastAsia="Times New Roman" w:hAnsi="montserratregular" w:cs="Times New Roman"/>
          <w:i/>
          <w:iCs/>
          <w:color w:val="4E4E4E"/>
          <w:sz w:val="21"/>
          <w:szCs w:val="21"/>
          <w:lang w:eastAsia="es-MX"/>
        </w:rPr>
        <w:t>“Artículo 33.- Las autoridades fiscales para el mejor cumplimiento de sus facultades, estarán a lo siguiente:</w:t>
      </w:r>
      <w:r w:rsidRPr="008E183C">
        <w:rPr>
          <w:rFonts w:ascii="montserratregular" w:eastAsia="Times New Roman" w:hAnsi="montserratregular" w:cs="Times New Roman"/>
          <w:i/>
          <w:iCs/>
          <w:color w:val="4E4E4E"/>
          <w:sz w:val="21"/>
          <w:szCs w:val="21"/>
          <w:lang w:eastAsia="es-MX"/>
        </w:rPr>
        <w:br/>
      </w:r>
      <w:r w:rsidRPr="008E183C">
        <w:rPr>
          <w:rFonts w:ascii="montserratregular" w:eastAsia="Times New Roman" w:hAnsi="montserratregular" w:cs="Times New Roman"/>
          <w:i/>
          <w:iCs/>
          <w:color w:val="4E4E4E"/>
          <w:sz w:val="21"/>
          <w:szCs w:val="21"/>
          <w:lang w:eastAsia="es-MX"/>
        </w:rPr>
        <w:br/>
        <w:t>I. Proporcionarán asistencia gratuita a los contribuyentes y ciudadanía, procurando:</w:t>
      </w:r>
      <w:r w:rsidRPr="008E183C">
        <w:rPr>
          <w:rFonts w:ascii="montserratregular" w:eastAsia="Times New Roman" w:hAnsi="montserratregular" w:cs="Times New Roman"/>
          <w:i/>
          <w:iCs/>
          <w:color w:val="4E4E4E"/>
          <w:sz w:val="21"/>
          <w:szCs w:val="21"/>
          <w:lang w:eastAsia="es-MX"/>
        </w:rPr>
        <w:br/>
      </w:r>
      <w:r w:rsidRPr="008E183C">
        <w:rPr>
          <w:rFonts w:ascii="montserratregular" w:eastAsia="Times New Roman" w:hAnsi="montserratregular" w:cs="Times New Roman"/>
          <w:i/>
          <w:iCs/>
          <w:color w:val="4E4E4E"/>
          <w:sz w:val="21"/>
          <w:szCs w:val="21"/>
          <w:lang w:eastAsia="es-MX"/>
        </w:rPr>
        <w:br/>
        <w:t>(…)</w:t>
      </w:r>
      <w:r w:rsidRPr="008E183C">
        <w:rPr>
          <w:rFonts w:ascii="montserratregular" w:eastAsia="Times New Roman" w:hAnsi="montserratregular" w:cs="Times New Roman"/>
          <w:i/>
          <w:iCs/>
          <w:color w:val="4E4E4E"/>
          <w:sz w:val="21"/>
          <w:szCs w:val="21"/>
          <w:lang w:eastAsia="es-MX"/>
        </w:rPr>
        <w:br/>
      </w:r>
      <w:r w:rsidRPr="008E183C">
        <w:rPr>
          <w:rFonts w:ascii="montserratregular" w:eastAsia="Times New Roman" w:hAnsi="montserratregular" w:cs="Times New Roman"/>
          <w:i/>
          <w:iCs/>
          <w:color w:val="4E4E4E"/>
          <w:sz w:val="21"/>
          <w:szCs w:val="21"/>
          <w:lang w:eastAsia="es-MX"/>
        </w:rPr>
        <w:br/>
        <w:t>i) Dar a conocer en forma periódica y en general para los contribuyentes de la Ley del Impuesto sobre la Renta, parámetros de referencia con respecto a la utilidad, conceptos deducibles o tasas efectivas de impuesto que presentan otras entidades o figuras jurídicas que obtienen ingresos, contraprestaciones o márgenes de utilidad por la realización de sus actividades con base en el sector económico o industria a la que pertenecen.</w:t>
      </w:r>
      <w:r w:rsidRPr="008E183C">
        <w:rPr>
          <w:rFonts w:ascii="montserratregular" w:eastAsia="Times New Roman" w:hAnsi="montserratregular" w:cs="Times New Roman"/>
          <w:i/>
          <w:iCs/>
          <w:color w:val="4E4E4E"/>
          <w:sz w:val="21"/>
          <w:szCs w:val="21"/>
          <w:lang w:eastAsia="es-MX"/>
        </w:rPr>
        <w:br/>
      </w:r>
      <w:r w:rsidRPr="008E183C">
        <w:rPr>
          <w:rFonts w:ascii="montserratregular" w:eastAsia="Times New Roman" w:hAnsi="montserratregular" w:cs="Times New Roman"/>
          <w:i/>
          <w:iCs/>
          <w:color w:val="4E4E4E"/>
          <w:sz w:val="21"/>
          <w:szCs w:val="21"/>
          <w:lang w:eastAsia="es-MX"/>
        </w:rPr>
        <w:br/>
        <w:t xml:space="preserve">La difusión de esta información se hará con la finalidad de medir riesgos impositivos. El Servicio de Administración Tributaria al amparo de programas de cumplimiento voluntario podrá informar al contribuyente, a su representante legal y en el caso de las personas morales, a sus órganos de dirección, cuando detecte supuestos de riesgo con base en los parámetros señalados en el párrafo </w:t>
      </w:r>
      <w:r w:rsidRPr="008E183C">
        <w:rPr>
          <w:rFonts w:ascii="montserratregular" w:eastAsia="Times New Roman" w:hAnsi="montserratregular" w:cs="Times New Roman"/>
          <w:i/>
          <w:iCs/>
          <w:color w:val="4E4E4E"/>
          <w:sz w:val="21"/>
          <w:szCs w:val="21"/>
          <w:lang w:eastAsia="es-MX"/>
        </w:rPr>
        <w:lastRenderedPageBreak/>
        <w:t>anterior, sin que se considere que las autoridades fiscales inician el ejercicio de sus facultades de comprobación. Dichos programas no son vinculantes y, se desarrollarán conforme a las reglas de carácter general que emita dicho órgano desconcentrado.</w:t>
      </w:r>
      <w:r w:rsidRPr="008E183C">
        <w:rPr>
          <w:rFonts w:ascii="montserratregular" w:eastAsia="Times New Roman" w:hAnsi="montserratregular" w:cs="Times New Roman"/>
          <w:i/>
          <w:iCs/>
          <w:color w:val="4E4E4E"/>
          <w:sz w:val="21"/>
          <w:szCs w:val="21"/>
          <w:lang w:eastAsia="es-MX"/>
        </w:rPr>
        <w:br/>
      </w:r>
      <w:r w:rsidRPr="008E183C">
        <w:rPr>
          <w:rFonts w:ascii="montserratregular" w:eastAsia="Times New Roman" w:hAnsi="montserratregular" w:cs="Times New Roman"/>
          <w:i/>
          <w:iCs/>
          <w:color w:val="4E4E4E"/>
          <w:sz w:val="21"/>
          <w:szCs w:val="21"/>
          <w:lang w:eastAsia="es-MX"/>
        </w:rPr>
        <w:br/>
        <w:t>(…)”</w:t>
      </w:r>
    </w:p>
    <w:p w14:paraId="42C54B2D" w14:textId="77777777" w:rsidR="008E183C" w:rsidRPr="008E183C" w:rsidRDefault="008E183C" w:rsidP="008E183C">
      <w:pPr>
        <w:shd w:val="clear" w:color="auto" w:fill="FFFFFF"/>
        <w:spacing w:after="150" w:line="351" w:lineRule="atLeast"/>
        <w:rPr>
          <w:rFonts w:ascii="montserratregular" w:eastAsia="Times New Roman" w:hAnsi="montserratregular" w:cs="Times New Roman"/>
          <w:color w:val="303030"/>
          <w:sz w:val="27"/>
          <w:szCs w:val="27"/>
          <w:lang w:eastAsia="es-MX"/>
        </w:rPr>
      </w:pPr>
      <w:r w:rsidRPr="008E183C">
        <w:rPr>
          <w:rFonts w:ascii="montserratregular" w:eastAsia="Times New Roman" w:hAnsi="montserratregular" w:cs="Times New Roman"/>
          <w:color w:val="303030"/>
          <w:sz w:val="27"/>
          <w:szCs w:val="27"/>
          <w:lang w:eastAsia="es-MX"/>
        </w:rPr>
        <w:t>Al respecto, para facilitar e incentivar el cumplimiento voluntario de los contribuyentes y como resultado de procesos de análisis realizados al interior del SAT, el 13 de junio de 2021 se dieron a conocer en su portal (</w:t>
      </w:r>
      <w:hyperlink r:id="rId5" w:tgtFrame="_blank" w:history="1">
        <w:r w:rsidRPr="008E183C">
          <w:rPr>
            <w:rFonts w:ascii="montserratregular" w:eastAsia="Times New Roman" w:hAnsi="montserratregular" w:cs="Times New Roman"/>
            <w:color w:val="303030"/>
            <w:sz w:val="27"/>
            <w:szCs w:val="27"/>
            <w:u w:val="single"/>
            <w:lang w:eastAsia="es-MX"/>
          </w:rPr>
          <w:t>https://www.sat.gob.mx</w:t>
        </w:r>
      </w:hyperlink>
      <w:r w:rsidRPr="008E183C">
        <w:rPr>
          <w:rFonts w:ascii="montserratregular" w:eastAsia="Times New Roman" w:hAnsi="montserratregular" w:cs="Times New Roman"/>
          <w:color w:val="303030"/>
          <w:sz w:val="27"/>
          <w:szCs w:val="27"/>
          <w:lang w:eastAsia="es-MX"/>
        </w:rPr>
        <w:t>) los primeros parámetros de referencia con respecto a tasas efectivas de impuesto para la medición de riesgos impositivos correspondientes a cuarenta actividades económicas para los ejercicios fiscales 2016, 2017, 2018 y 2019 sobre el padrón de grandes contribuyentes. Lo anterior con base en la información dispuesta en las bases de datos institucionales que contienen las declaraciones anuales, dictámenes fiscales, información sobre la situación fiscal de los contribuyentes, declaraciones informativas, los comprobantes fiscales digitales por internet (</w:t>
      </w:r>
      <w:proofErr w:type="spellStart"/>
      <w:r w:rsidRPr="008E183C">
        <w:rPr>
          <w:rFonts w:ascii="montserratregular" w:eastAsia="Times New Roman" w:hAnsi="montserratregular" w:cs="Times New Roman"/>
          <w:color w:val="303030"/>
          <w:sz w:val="27"/>
          <w:szCs w:val="27"/>
          <w:lang w:eastAsia="es-MX"/>
        </w:rPr>
        <w:t>CFDI’s</w:t>
      </w:r>
      <w:proofErr w:type="spellEnd"/>
      <w:r w:rsidRPr="008E183C">
        <w:rPr>
          <w:rFonts w:ascii="montserratregular" w:eastAsia="Times New Roman" w:hAnsi="montserratregular" w:cs="Times New Roman"/>
          <w:color w:val="303030"/>
          <w:sz w:val="27"/>
          <w:szCs w:val="27"/>
          <w:lang w:eastAsia="es-MX"/>
        </w:rPr>
        <w:t>), pedimentos, etc.</w:t>
      </w:r>
      <w:r w:rsidRPr="008E183C">
        <w:rPr>
          <w:rFonts w:ascii="montserratregular" w:eastAsia="Times New Roman" w:hAnsi="montserratregular" w:cs="Times New Roman"/>
          <w:color w:val="303030"/>
          <w:sz w:val="27"/>
          <w:szCs w:val="27"/>
          <w:lang w:eastAsia="es-MX"/>
        </w:rPr>
        <w:br/>
      </w:r>
      <w:r w:rsidRPr="008E183C">
        <w:rPr>
          <w:rFonts w:ascii="montserratregular" w:eastAsia="Times New Roman" w:hAnsi="montserratregular" w:cs="Times New Roman"/>
          <w:color w:val="303030"/>
          <w:sz w:val="27"/>
          <w:szCs w:val="27"/>
          <w:lang w:eastAsia="es-MX"/>
        </w:rPr>
        <w:br/>
        <w:t>Estas primeras cuarenta actividades económicas forman parte de cinco sectores económicos: minería, industrias manufactureras, comercio al por mayor, comercio al por menor y servicios financieros y de seguros; entre los que se encuentran las industrias automotriz y farmacéutica.</w:t>
      </w:r>
      <w:r w:rsidRPr="008E183C">
        <w:rPr>
          <w:rFonts w:ascii="montserratregular" w:eastAsia="Times New Roman" w:hAnsi="montserratregular" w:cs="Times New Roman"/>
          <w:color w:val="303030"/>
          <w:sz w:val="27"/>
          <w:szCs w:val="27"/>
          <w:lang w:eastAsia="es-MX"/>
        </w:rPr>
        <w:br/>
      </w:r>
      <w:r w:rsidRPr="008E183C">
        <w:rPr>
          <w:rFonts w:ascii="montserratregular" w:eastAsia="Times New Roman" w:hAnsi="montserratregular" w:cs="Times New Roman"/>
          <w:color w:val="303030"/>
          <w:sz w:val="27"/>
          <w:szCs w:val="27"/>
          <w:lang w:eastAsia="es-MX"/>
        </w:rPr>
        <w:br/>
        <w:t>Por lo anterior, con el objetivo de facilitar e incentivar el cumplimiento voluntario, se invita a los contribuyentes a consultar la tasa efectiva de impuesto correspondiente a la actividad económica a la que pertenecen y compararla con su propia tasa efectiva de impuesto respecto de cada ejercicio fiscal para medir sus riesgos impositivos y, en su caso, corregir su situación fiscal mediante la presentación de la(s) declaración(es) anual(es) complementaria(s) correspondiente(s), para minimizar la posibilidad del inicio de revisiones profundas orientadas a corroborar el correcto cumplimiento de sus obligaciones fiscales.</w:t>
      </w:r>
      <w:r w:rsidRPr="008E183C">
        <w:rPr>
          <w:rFonts w:ascii="montserratregular" w:eastAsia="Times New Roman" w:hAnsi="montserratregular" w:cs="Times New Roman"/>
          <w:color w:val="303030"/>
          <w:sz w:val="27"/>
          <w:szCs w:val="27"/>
          <w:lang w:eastAsia="es-MX"/>
        </w:rPr>
        <w:br/>
      </w:r>
      <w:r w:rsidRPr="008E183C">
        <w:rPr>
          <w:rFonts w:ascii="montserratregular" w:eastAsia="Times New Roman" w:hAnsi="montserratregular" w:cs="Times New Roman"/>
          <w:color w:val="303030"/>
          <w:sz w:val="27"/>
          <w:szCs w:val="27"/>
          <w:lang w:eastAsia="es-MX"/>
        </w:rPr>
        <w:br/>
        <w:t>Actualmente, al interior del SAT se están realizando los análisis necesarios respecto a tasas efectivas de impuesto de otras actividades económicas, para eventualmente darlas a conocer mediante publicación en su portal.</w:t>
      </w:r>
      <w:r w:rsidRPr="008E183C">
        <w:rPr>
          <w:rFonts w:ascii="montserratregular" w:eastAsia="Times New Roman" w:hAnsi="montserratregular" w:cs="Times New Roman"/>
          <w:color w:val="303030"/>
          <w:sz w:val="27"/>
          <w:szCs w:val="27"/>
          <w:lang w:eastAsia="es-MX"/>
        </w:rPr>
        <w:br/>
      </w:r>
      <w:r w:rsidRPr="008E183C">
        <w:rPr>
          <w:rFonts w:ascii="montserratregular" w:eastAsia="Times New Roman" w:hAnsi="montserratregular" w:cs="Times New Roman"/>
          <w:color w:val="303030"/>
          <w:sz w:val="27"/>
          <w:szCs w:val="27"/>
          <w:lang w:eastAsia="es-MX"/>
        </w:rPr>
        <w:br/>
      </w:r>
      <w:r w:rsidRPr="008E183C">
        <w:rPr>
          <w:rFonts w:ascii="montserratregular" w:eastAsia="Times New Roman" w:hAnsi="montserratregular" w:cs="Times New Roman"/>
          <w:color w:val="303030"/>
          <w:sz w:val="27"/>
          <w:szCs w:val="27"/>
          <w:lang w:eastAsia="es-MX"/>
        </w:rPr>
        <w:lastRenderedPageBreak/>
        <w:t>Para efectos de los presentes parámetros dados a conocer por el SAT, se deberán considerar las siguientes definiciones:</w:t>
      </w:r>
    </w:p>
    <w:p w14:paraId="25E1C967" w14:textId="77777777" w:rsidR="008E183C" w:rsidRPr="008E183C" w:rsidRDefault="008E183C" w:rsidP="008E183C">
      <w:pPr>
        <w:shd w:val="clear" w:color="auto" w:fill="FFFFFF"/>
        <w:spacing w:after="150" w:line="240" w:lineRule="auto"/>
        <w:ind w:left="75"/>
        <w:rPr>
          <w:rFonts w:ascii="montserratregular" w:eastAsia="Times New Roman" w:hAnsi="montserratregular" w:cs="Times New Roman"/>
          <w:color w:val="4E4E4E"/>
          <w:sz w:val="24"/>
          <w:szCs w:val="24"/>
          <w:lang w:eastAsia="es-MX"/>
        </w:rPr>
      </w:pPr>
      <w:r w:rsidRPr="008E183C">
        <w:rPr>
          <w:rFonts w:ascii="montserratregular" w:eastAsia="Times New Roman" w:hAnsi="montserratregular" w:cs="Times New Roman"/>
          <w:b/>
          <w:bCs/>
          <w:color w:val="4E4E4E"/>
          <w:sz w:val="24"/>
          <w:szCs w:val="24"/>
          <w:lang w:eastAsia="es-MX"/>
        </w:rPr>
        <w:t>Riesgo impositivo:</w:t>
      </w:r>
      <w:r w:rsidRPr="008E183C">
        <w:rPr>
          <w:rFonts w:ascii="montserratregular" w:eastAsia="Times New Roman" w:hAnsi="montserratregular" w:cs="Times New Roman"/>
          <w:color w:val="4E4E4E"/>
          <w:sz w:val="24"/>
          <w:szCs w:val="24"/>
          <w:lang w:eastAsia="es-MX"/>
        </w:rPr>
        <w:t> es la contingencia de incumplimiento de las disposiciones fiscales que le son aplicables a un contribuyente o a un conjunto de contribuyentes y que repercute en el correcto pago de contribuciones, concretamente en materia del impuesto sobre la renta.</w:t>
      </w:r>
      <w:r w:rsidRPr="008E183C">
        <w:rPr>
          <w:rFonts w:ascii="montserratregular" w:eastAsia="Times New Roman" w:hAnsi="montserratregular" w:cs="Times New Roman"/>
          <w:color w:val="4E4E4E"/>
          <w:sz w:val="24"/>
          <w:szCs w:val="24"/>
          <w:lang w:eastAsia="es-MX"/>
        </w:rPr>
        <w:br/>
      </w:r>
      <w:r w:rsidRPr="008E183C">
        <w:rPr>
          <w:rFonts w:ascii="montserratregular" w:eastAsia="Times New Roman" w:hAnsi="montserratregular" w:cs="Times New Roman"/>
          <w:color w:val="4E4E4E"/>
          <w:sz w:val="24"/>
          <w:szCs w:val="24"/>
          <w:lang w:eastAsia="es-MX"/>
        </w:rPr>
        <w:br/>
      </w:r>
      <w:r w:rsidRPr="008E183C">
        <w:rPr>
          <w:rFonts w:ascii="montserratregular" w:eastAsia="Times New Roman" w:hAnsi="montserratregular" w:cs="Times New Roman"/>
          <w:b/>
          <w:bCs/>
          <w:color w:val="4E4E4E"/>
          <w:sz w:val="24"/>
          <w:szCs w:val="24"/>
          <w:lang w:eastAsia="es-MX"/>
        </w:rPr>
        <w:t>Tasa efectiva de impuesto:</w:t>
      </w:r>
      <w:r w:rsidRPr="008E183C">
        <w:rPr>
          <w:rFonts w:ascii="montserratregular" w:eastAsia="Times New Roman" w:hAnsi="montserratregular" w:cs="Times New Roman"/>
          <w:color w:val="4E4E4E"/>
          <w:sz w:val="24"/>
          <w:szCs w:val="24"/>
          <w:lang w:eastAsia="es-MX"/>
        </w:rPr>
        <w:t> es aquélla que se calcula con la información manifestada en la última declaración anual del impuesto sobre la renta correspondiente al ejercicio fiscal en cuestión, mediante la división del monto del impuesto sobre la renta causado en el ejercicio fiscal que corresponda, entre los ingresos acumulables de dicho ejercicio.</w:t>
      </w:r>
    </w:p>
    <w:p w14:paraId="61F835E7" w14:textId="77777777" w:rsidR="008E183C" w:rsidRPr="008E183C" w:rsidRDefault="008E183C" w:rsidP="008E183C">
      <w:pPr>
        <w:shd w:val="clear" w:color="auto" w:fill="FFFFFF"/>
        <w:spacing w:after="0" w:line="240" w:lineRule="auto"/>
        <w:rPr>
          <w:rFonts w:ascii="montserratregular" w:eastAsia="Times New Roman" w:hAnsi="montserratregular" w:cs="Times New Roman"/>
          <w:color w:val="4E4E4E"/>
          <w:sz w:val="21"/>
          <w:szCs w:val="21"/>
          <w:lang w:eastAsia="es-MX"/>
        </w:rPr>
      </w:pPr>
    </w:p>
    <w:tbl>
      <w:tblPr>
        <w:tblW w:w="2500" w:type="pct"/>
        <w:jc w:val="center"/>
        <w:tblCellMar>
          <w:left w:w="0" w:type="dxa"/>
          <w:right w:w="0" w:type="dxa"/>
        </w:tblCellMar>
        <w:tblLook w:val="04A0" w:firstRow="1" w:lastRow="0" w:firstColumn="1" w:lastColumn="0" w:noHBand="0" w:noVBand="1"/>
      </w:tblPr>
      <w:tblGrid>
        <w:gridCol w:w="2233"/>
        <w:gridCol w:w="120"/>
        <w:gridCol w:w="2327"/>
      </w:tblGrid>
      <w:tr w:rsidR="008E183C" w:rsidRPr="008E183C" w14:paraId="329755A8" w14:textId="77777777" w:rsidTr="008E183C">
        <w:trPr>
          <w:jc w:val="center"/>
        </w:trPr>
        <w:tc>
          <w:tcPr>
            <w:tcW w:w="2400" w:type="pct"/>
            <w:vMerge w:val="restart"/>
            <w:shd w:val="clear" w:color="auto" w:fill="auto"/>
            <w:vAlign w:val="center"/>
            <w:hideMark/>
          </w:tcPr>
          <w:p w14:paraId="0A38D5AF" w14:textId="77777777" w:rsidR="008E183C" w:rsidRPr="008E183C" w:rsidRDefault="008E183C" w:rsidP="008E183C">
            <w:pPr>
              <w:spacing w:after="0" w:line="240" w:lineRule="auto"/>
              <w:jc w:val="right"/>
              <w:rPr>
                <w:rFonts w:ascii="Times New Roman" w:eastAsia="Times New Roman" w:hAnsi="Times New Roman" w:cs="Times New Roman"/>
                <w:sz w:val="24"/>
                <w:szCs w:val="24"/>
                <w:lang w:eastAsia="es-MX"/>
              </w:rPr>
            </w:pPr>
            <w:r w:rsidRPr="008E183C">
              <w:rPr>
                <w:rFonts w:ascii="Times New Roman" w:eastAsia="Times New Roman" w:hAnsi="Times New Roman" w:cs="Times New Roman"/>
                <w:sz w:val="24"/>
                <w:szCs w:val="24"/>
                <w:lang w:eastAsia="es-MX"/>
              </w:rPr>
              <w:t>Tasa efectiva de impuesto =</w:t>
            </w:r>
          </w:p>
        </w:tc>
        <w:tc>
          <w:tcPr>
            <w:tcW w:w="100" w:type="pct"/>
            <w:vMerge w:val="restart"/>
            <w:shd w:val="clear" w:color="auto" w:fill="auto"/>
            <w:vAlign w:val="center"/>
            <w:hideMark/>
          </w:tcPr>
          <w:p w14:paraId="416A4A3B" w14:textId="77777777" w:rsidR="008E183C" w:rsidRPr="008E183C" w:rsidRDefault="008E183C" w:rsidP="008E183C">
            <w:pPr>
              <w:spacing w:after="0" w:line="240" w:lineRule="auto"/>
              <w:rPr>
                <w:rFonts w:ascii="Times New Roman" w:eastAsia="Times New Roman" w:hAnsi="Times New Roman" w:cs="Times New Roman"/>
                <w:sz w:val="24"/>
                <w:szCs w:val="24"/>
                <w:lang w:eastAsia="es-MX"/>
              </w:rPr>
            </w:pPr>
            <w:r w:rsidRPr="008E183C">
              <w:rPr>
                <w:rFonts w:ascii="Times New Roman" w:eastAsia="Times New Roman" w:hAnsi="Times New Roman" w:cs="Times New Roman"/>
                <w:sz w:val="24"/>
                <w:szCs w:val="24"/>
                <w:lang w:eastAsia="es-MX"/>
              </w:rPr>
              <w:t>  </w:t>
            </w:r>
          </w:p>
        </w:tc>
        <w:tc>
          <w:tcPr>
            <w:tcW w:w="2500" w:type="pct"/>
            <w:shd w:val="clear" w:color="auto" w:fill="auto"/>
            <w:vAlign w:val="bottom"/>
            <w:hideMark/>
          </w:tcPr>
          <w:p w14:paraId="25AE80FE" w14:textId="77777777" w:rsidR="008E183C" w:rsidRPr="008E183C" w:rsidRDefault="008E183C" w:rsidP="008E183C">
            <w:pPr>
              <w:spacing w:after="0" w:line="240" w:lineRule="auto"/>
              <w:rPr>
                <w:rFonts w:ascii="Times New Roman" w:eastAsia="Times New Roman" w:hAnsi="Times New Roman" w:cs="Times New Roman"/>
                <w:sz w:val="24"/>
                <w:szCs w:val="24"/>
                <w:lang w:eastAsia="es-MX"/>
              </w:rPr>
            </w:pPr>
            <w:r w:rsidRPr="008E183C">
              <w:rPr>
                <w:rFonts w:ascii="Times New Roman" w:eastAsia="Times New Roman" w:hAnsi="Times New Roman" w:cs="Times New Roman"/>
                <w:sz w:val="24"/>
                <w:szCs w:val="24"/>
                <w:lang w:eastAsia="es-MX"/>
              </w:rPr>
              <w:t>ISR causado</w:t>
            </w:r>
          </w:p>
        </w:tc>
      </w:tr>
      <w:tr w:rsidR="008E183C" w:rsidRPr="008E183C" w14:paraId="523DEFB6" w14:textId="77777777" w:rsidTr="008E183C">
        <w:trPr>
          <w:jc w:val="center"/>
        </w:trPr>
        <w:tc>
          <w:tcPr>
            <w:tcW w:w="0" w:type="auto"/>
            <w:vMerge/>
            <w:shd w:val="clear" w:color="auto" w:fill="auto"/>
            <w:vAlign w:val="center"/>
            <w:hideMark/>
          </w:tcPr>
          <w:p w14:paraId="72BDEF83" w14:textId="77777777" w:rsidR="008E183C" w:rsidRPr="008E183C" w:rsidRDefault="008E183C" w:rsidP="008E183C">
            <w:pPr>
              <w:spacing w:after="0" w:line="240" w:lineRule="auto"/>
              <w:rPr>
                <w:rFonts w:ascii="Times New Roman" w:eastAsia="Times New Roman" w:hAnsi="Times New Roman" w:cs="Times New Roman"/>
                <w:sz w:val="24"/>
                <w:szCs w:val="24"/>
                <w:lang w:eastAsia="es-MX"/>
              </w:rPr>
            </w:pPr>
          </w:p>
        </w:tc>
        <w:tc>
          <w:tcPr>
            <w:tcW w:w="0" w:type="auto"/>
            <w:vMerge/>
            <w:shd w:val="clear" w:color="auto" w:fill="auto"/>
            <w:vAlign w:val="center"/>
            <w:hideMark/>
          </w:tcPr>
          <w:p w14:paraId="7B9A5A7D" w14:textId="77777777" w:rsidR="008E183C" w:rsidRPr="008E183C" w:rsidRDefault="008E183C" w:rsidP="008E183C">
            <w:pPr>
              <w:spacing w:after="0" w:line="240" w:lineRule="auto"/>
              <w:rPr>
                <w:rFonts w:ascii="Times New Roman" w:eastAsia="Times New Roman" w:hAnsi="Times New Roman" w:cs="Times New Roman"/>
                <w:sz w:val="24"/>
                <w:szCs w:val="24"/>
                <w:lang w:eastAsia="es-MX"/>
              </w:rPr>
            </w:pPr>
          </w:p>
        </w:tc>
        <w:tc>
          <w:tcPr>
            <w:tcW w:w="0" w:type="auto"/>
            <w:shd w:val="clear" w:color="auto" w:fill="auto"/>
            <w:vAlign w:val="center"/>
            <w:hideMark/>
          </w:tcPr>
          <w:p w14:paraId="6B8E6ECF" w14:textId="77777777" w:rsidR="008E183C" w:rsidRPr="008E183C" w:rsidRDefault="008E183C" w:rsidP="008E183C">
            <w:pPr>
              <w:spacing w:before="300" w:after="300" w:line="240" w:lineRule="auto"/>
              <w:rPr>
                <w:rFonts w:ascii="Times New Roman" w:eastAsia="Times New Roman" w:hAnsi="Times New Roman" w:cs="Times New Roman"/>
                <w:sz w:val="24"/>
                <w:szCs w:val="24"/>
                <w:lang w:eastAsia="es-MX"/>
              </w:rPr>
            </w:pPr>
            <w:r w:rsidRPr="008E183C">
              <w:rPr>
                <w:rFonts w:ascii="Times New Roman" w:eastAsia="Times New Roman" w:hAnsi="Times New Roman" w:cs="Times New Roman"/>
                <w:sz w:val="24"/>
                <w:szCs w:val="24"/>
                <w:lang w:eastAsia="es-MX"/>
              </w:rPr>
              <w:pict w14:anchorId="6E338FDA">
                <v:rect id="_x0000_i1026" style="width:0;height:0" o:hralign="center" o:hrstd="t" o:hr="t" fillcolor="#a0a0a0" stroked="f"/>
              </w:pict>
            </w:r>
          </w:p>
        </w:tc>
      </w:tr>
      <w:tr w:rsidR="008E183C" w:rsidRPr="008E183C" w14:paraId="76BE116D" w14:textId="77777777" w:rsidTr="008E183C">
        <w:trPr>
          <w:jc w:val="center"/>
        </w:trPr>
        <w:tc>
          <w:tcPr>
            <w:tcW w:w="0" w:type="auto"/>
            <w:vMerge/>
            <w:shd w:val="clear" w:color="auto" w:fill="auto"/>
            <w:vAlign w:val="center"/>
            <w:hideMark/>
          </w:tcPr>
          <w:p w14:paraId="2D220457" w14:textId="77777777" w:rsidR="008E183C" w:rsidRPr="008E183C" w:rsidRDefault="008E183C" w:rsidP="008E183C">
            <w:pPr>
              <w:spacing w:before="300" w:after="300" w:line="240" w:lineRule="auto"/>
              <w:rPr>
                <w:rFonts w:ascii="Times New Roman" w:eastAsia="Times New Roman" w:hAnsi="Times New Roman" w:cs="Times New Roman"/>
                <w:sz w:val="24"/>
                <w:szCs w:val="24"/>
                <w:lang w:eastAsia="es-MX"/>
              </w:rPr>
            </w:pPr>
          </w:p>
        </w:tc>
        <w:tc>
          <w:tcPr>
            <w:tcW w:w="0" w:type="auto"/>
            <w:vMerge/>
            <w:shd w:val="clear" w:color="auto" w:fill="auto"/>
            <w:vAlign w:val="center"/>
            <w:hideMark/>
          </w:tcPr>
          <w:p w14:paraId="0D0D54AD" w14:textId="77777777" w:rsidR="008E183C" w:rsidRPr="008E183C" w:rsidRDefault="008E183C" w:rsidP="008E183C">
            <w:pPr>
              <w:spacing w:before="300" w:after="300" w:line="240" w:lineRule="auto"/>
              <w:rPr>
                <w:rFonts w:ascii="Times New Roman" w:eastAsia="Times New Roman" w:hAnsi="Times New Roman" w:cs="Times New Roman"/>
                <w:sz w:val="24"/>
                <w:szCs w:val="24"/>
                <w:lang w:eastAsia="es-MX"/>
              </w:rPr>
            </w:pPr>
          </w:p>
        </w:tc>
        <w:tc>
          <w:tcPr>
            <w:tcW w:w="0" w:type="auto"/>
            <w:shd w:val="clear" w:color="auto" w:fill="auto"/>
            <w:hideMark/>
          </w:tcPr>
          <w:p w14:paraId="537626DF" w14:textId="77777777" w:rsidR="008E183C" w:rsidRPr="008E183C" w:rsidRDefault="008E183C" w:rsidP="008E183C">
            <w:pPr>
              <w:spacing w:before="300" w:after="300" w:line="240" w:lineRule="auto"/>
              <w:rPr>
                <w:rFonts w:ascii="Times New Roman" w:eastAsia="Times New Roman" w:hAnsi="Times New Roman" w:cs="Times New Roman"/>
                <w:sz w:val="24"/>
                <w:szCs w:val="24"/>
                <w:lang w:eastAsia="es-MX"/>
              </w:rPr>
            </w:pPr>
            <w:r w:rsidRPr="008E183C">
              <w:rPr>
                <w:rFonts w:ascii="Times New Roman" w:eastAsia="Times New Roman" w:hAnsi="Times New Roman" w:cs="Times New Roman"/>
                <w:sz w:val="24"/>
                <w:szCs w:val="24"/>
                <w:lang w:eastAsia="es-MX"/>
              </w:rPr>
              <w:t>Ingresos acumulables</w:t>
            </w:r>
          </w:p>
        </w:tc>
      </w:tr>
    </w:tbl>
    <w:p w14:paraId="74AF6952" w14:textId="77777777" w:rsidR="008E183C" w:rsidRPr="008E183C" w:rsidRDefault="008E183C" w:rsidP="008E183C">
      <w:pPr>
        <w:shd w:val="clear" w:color="auto" w:fill="FFFFFF"/>
        <w:spacing w:after="0" w:line="240" w:lineRule="auto"/>
        <w:rPr>
          <w:rFonts w:ascii="montserratregular" w:eastAsia="Times New Roman" w:hAnsi="montserratregular" w:cs="Times New Roman"/>
          <w:color w:val="4E4E4E"/>
          <w:sz w:val="21"/>
          <w:szCs w:val="21"/>
          <w:lang w:eastAsia="es-MX"/>
        </w:rPr>
      </w:pPr>
      <w:r w:rsidRPr="008E183C">
        <w:rPr>
          <w:rFonts w:ascii="montserratregular" w:eastAsia="Times New Roman" w:hAnsi="montserratregular" w:cs="Times New Roman"/>
          <w:color w:val="4E4E4E"/>
          <w:sz w:val="21"/>
          <w:szCs w:val="21"/>
          <w:lang w:eastAsia="es-MX"/>
        </w:rPr>
        <w:br/>
      </w:r>
      <w:r w:rsidRPr="008E183C">
        <w:rPr>
          <w:rFonts w:ascii="montserratregular" w:eastAsia="Times New Roman" w:hAnsi="montserratregular" w:cs="Times New Roman"/>
          <w:color w:val="4E4E4E"/>
          <w:sz w:val="21"/>
          <w:szCs w:val="21"/>
          <w:lang w:eastAsia="es-MX"/>
        </w:rPr>
        <w:br/>
      </w:r>
    </w:p>
    <w:p w14:paraId="08687032" w14:textId="77777777" w:rsidR="008E183C" w:rsidRPr="008E183C" w:rsidRDefault="008E183C" w:rsidP="008E183C">
      <w:pPr>
        <w:shd w:val="clear" w:color="auto" w:fill="FFFFFF"/>
        <w:spacing w:after="150" w:line="240" w:lineRule="auto"/>
        <w:ind w:left="75"/>
        <w:rPr>
          <w:rFonts w:ascii="montserratregular" w:eastAsia="Times New Roman" w:hAnsi="montserratregular" w:cs="Times New Roman"/>
          <w:color w:val="4E4E4E"/>
          <w:sz w:val="24"/>
          <w:szCs w:val="24"/>
          <w:lang w:eastAsia="es-MX"/>
        </w:rPr>
      </w:pPr>
      <w:r w:rsidRPr="008E183C">
        <w:rPr>
          <w:rFonts w:ascii="montserratregular" w:eastAsia="Times New Roman" w:hAnsi="montserratregular" w:cs="Times New Roman"/>
          <w:b/>
          <w:bCs/>
          <w:color w:val="4E4E4E"/>
          <w:sz w:val="24"/>
          <w:szCs w:val="24"/>
          <w:lang w:eastAsia="es-MX"/>
        </w:rPr>
        <w:t>Actividades económicas:</w:t>
      </w:r>
      <w:r w:rsidRPr="008E183C">
        <w:rPr>
          <w:rFonts w:ascii="montserratregular" w:eastAsia="Times New Roman" w:hAnsi="montserratregular" w:cs="Times New Roman"/>
          <w:color w:val="4E4E4E"/>
          <w:sz w:val="24"/>
          <w:szCs w:val="24"/>
          <w:lang w:eastAsia="es-MX"/>
        </w:rPr>
        <w:t> son aquéllas contenidas en el Anexo 6 de la Resolución Miscelánea Fiscal vigente.</w:t>
      </w:r>
    </w:p>
    <w:p w14:paraId="66D881F3" w14:textId="77777777" w:rsidR="00326F94" w:rsidRDefault="00326F94"/>
    <w:sectPr w:rsidR="00326F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ontserratbol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3C"/>
    <w:rsid w:val="00326F94"/>
    <w:rsid w:val="008E18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34B9E"/>
  <w15:chartTrackingRefBased/>
  <w15:docId w15:val="{AF53E6CB-E1C0-4C2C-B697-A37173C32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cabecera">
    <w:name w:val="titulocabecera"/>
    <w:basedOn w:val="Normal"/>
    <w:rsid w:val="008E183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cabecera2">
    <w:name w:val="titulocabecera2"/>
    <w:basedOn w:val="Fuentedeprrafopredeter"/>
    <w:rsid w:val="008E183C"/>
  </w:style>
  <w:style w:type="paragraph" w:customStyle="1" w:styleId="texto01">
    <w:name w:val="texto01"/>
    <w:basedOn w:val="Normal"/>
    <w:rsid w:val="008E183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02">
    <w:name w:val="texto02"/>
    <w:basedOn w:val="Normal"/>
    <w:rsid w:val="008E183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8E183C"/>
    <w:rPr>
      <w:color w:val="0000FF"/>
      <w:u w:val="single"/>
    </w:rPr>
  </w:style>
  <w:style w:type="paragraph" w:customStyle="1" w:styleId="texto03">
    <w:name w:val="texto03"/>
    <w:basedOn w:val="Normal"/>
    <w:rsid w:val="008E183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8E1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782665">
      <w:bodyDiv w:val="1"/>
      <w:marLeft w:val="0"/>
      <w:marRight w:val="0"/>
      <w:marTop w:val="0"/>
      <w:marBottom w:val="0"/>
      <w:divBdr>
        <w:top w:val="none" w:sz="0" w:space="0" w:color="auto"/>
        <w:left w:val="none" w:sz="0" w:space="0" w:color="auto"/>
        <w:bottom w:val="none" w:sz="0" w:space="0" w:color="auto"/>
        <w:right w:val="none" w:sz="0" w:space="0" w:color="auto"/>
      </w:divBdr>
      <w:divsChild>
        <w:div w:id="1550343388">
          <w:marLeft w:val="-225"/>
          <w:marRight w:val="-225"/>
          <w:marTop w:val="0"/>
          <w:marBottom w:val="0"/>
          <w:divBdr>
            <w:top w:val="none" w:sz="0" w:space="0" w:color="auto"/>
            <w:left w:val="none" w:sz="0" w:space="0" w:color="auto"/>
            <w:bottom w:val="none" w:sz="0" w:space="0" w:color="auto"/>
            <w:right w:val="none" w:sz="0" w:space="0" w:color="auto"/>
          </w:divBdr>
          <w:divsChild>
            <w:div w:id="38674570">
              <w:marLeft w:val="0"/>
              <w:marRight w:val="0"/>
              <w:marTop w:val="0"/>
              <w:marBottom w:val="0"/>
              <w:divBdr>
                <w:top w:val="none" w:sz="0" w:space="0" w:color="auto"/>
                <w:left w:val="none" w:sz="0" w:space="0" w:color="auto"/>
                <w:bottom w:val="none" w:sz="0" w:space="0" w:color="auto"/>
                <w:right w:val="none" w:sz="0" w:space="0" w:color="auto"/>
              </w:divBdr>
              <w:divsChild>
                <w:div w:id="42738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2099">
          <w:marLeft w:val="-225"/>
          <w:marRight w:val="-225"/>
          <w:marTop w:val="0"/>
          <w:marBottom w:val="0"/>
          <w:divBdr>
            <w:top w:val="none" w:sz="0" w:space="0" w:color="auto"/>
            <w:left w:val="none" w:sz="0" w:space="0" w:color="auto"/>
            <w:bottom w:val="none" w:sz="0" w:space="0" w:color="auto"/>
            <w:right w:val="none" w:sz="0" w:space="0" w:color="auto"/>
          </w:divBdr>
          <w:divsChild>
            <w:div w:id="1375043037">
              <w:marLeft w:val="0"/>
              <w:marRight w:val="0"/>
              <w:marTop w:val="0"/>
              <w:marBottom w:val="0"/>
              <w:divBdr>
                <w:top w:val="none" w:sz="0" w:space="0" w:color="auto"/>
                <w:left w:val="none" w:sz="0" w:space="0" w:color="auto"/>
                <w:bottom w:val="none" w:sz="0" w:space="0" w:color="auto"/>
                <w:right w:val="none" w:sz="0" w:space="0" w:color="auto"/>
              </w:divBdr>
              <w:divsChild>
                <w:div w:id="1449858305">
                  <w:marLeft w:val="0"/>
                  <w:marRight w:val="0"/>
                  <w:marTop w:val="0"/>
                  <w:marBottom w:val="0"/>
                  <w:divBdr>
                    <w:top w:val="none" w:sz="0" w:space="0" w:color="auto"/>
                    <w:left w:val="none" w:sz="0" w:space="0" w:color="auto"/>
                    <w:bottom w:val="none" w:sz="0" w:space="0" w:color="auto"/>
                    <w:right w:val="none" w:sz="0" w:space="0" w:color="auto"/>
                  </w:divBdr>
                  <w:divsChild>
                    <w:div w:id="3384366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at.gob.mx/"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4021</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raymundo atkinson</dc:creator>
  <cp:keywords/>
  <dc:description/>
  <cp:lastModifiedBy>raymundo atkinson</cp:lastModifiedBy>
  <cp:revision>1</cp:revision>
  <dcterms:created xsi:type="dcterms:W3CDTF">2022-03-08T17:44:00Z</dcterms:created>
  <dcterms:modified xsi:type="dcterms:W3CDTF">2022-03-08T17:44:00Z</dcterms:modified>
</cp:coreProperties>
</file>