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F81D8" w14:textId="24CC6A35" w:rsidR="0002006A" w:rsidRDefault="0002006A" w:rsidP="00020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REGIMEN SIMPLIFICADO DE CONFIANZA </w:t>
      </w:r>
    </w:p>
    <w:p w14:paraId="2FA16C8D" w14:textId="77777777" w:rsidR="0002006A" w:rsidRDefault="0002006A" w:rsidP="00020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39426FE" w14:textId="77777777" w:rsidR="0002006A" w:rsidRDefault="0002006A" w:rsidP="00020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2619C97" w14:textId="77777777" w:rsidR="0002006A" w:rsidRDefault="0002006A" w:rsidP="00020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D6692CD" w14:textId="77777777" w:rsidR="0002006A" w:rsidRDefault="0002006A" w:rsidP="00020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0FC62F0" w14:textId="77777777" w:rsidR="0002006A" w:rsidRDefault="0002006A" w:rsidP="00020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49A6E79" w14:textId="77777777" w:rsidR="0002006A" w:rsidRDefault="0002006A" w:rsidP="00020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FA981D9" w14:textId="77777777" w:rsidR="0002006A" w:rsidRDefault="0002006A" w:rsidP="00020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A4F17D0" w14:textId="738CE7E7" w:rsidR="0002006A" w:rsidRPr="0002006A" w:rsidRDefault="0002006A" w:rsidP="00020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2006A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3D196444" wp14:editId="1D5C6233">
            <wp:extent cx="1695450" cy="1857375"/>
            <wp:effectExtent l="0" t="0" r="0" b="9525"/>
            <wp:docPr id="10" name="Imagen 10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17156" w14:textId="77777777" w:rsidR="0002006A" w:rsidRPr="0002006A" w:rsidRDefault="0002006A" w:rsidP="0002006A">
      <w:pPr>
        <w:spacing w:before="343" w:after="150" w:line="540" w:lineRule="atLeast"/>
        <w:jc w:val="center"/>
        <w:rPr>
          <w:rFonts w:ascii="Arial" w:eastAsia="Times New Roman" w:hAnsi="Arial" w:cs="Arial"/>
          <w:color w:val="478170"/>
          <w:sz w:val="45"/>
          <w:szCs w:val="45"/>
          <w:lang w:eastAsia="es-MX"/>
        </w:rPr>
      </w:pPr>
      <w:r w:rsidRPr="0002006A">
        <w:rPr>
          <w:rFonts w:ascii="Arial" w:eastAsia="Times New Roman" w:hAnsi="Arial" w:cs="Arial"/>
          <w:color w:val="478170"/>
          <w:sz w:val="45"/>
          <w:szCs w:val="45"/>
          <w:lang w:eastAsia="es-MX"/>
        </w:rPr>
        <w:t>Personas físicas</w:t>
      </w:r>
    </w:p>
    <w:p w14:paraId="1A75C3F1" w14:textId="77777777" w:rsidR="0002006A" w:rsidRPr="0002006A" w:rsidRDefault="0002006A" w:rsidP="0002006A">
      <w:pPr>
        <w:spacing w:before="150" w:after="343" w:line="324" w:lineRule="atLeast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El </w:t>
      </w:r>
      <w:r w:rsidRPr="0002006A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MX"/>
        </w:rPr>
        <w:t>Régimen Simplificado de Confianza</w:t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 es una simplificación administrativa para que el pago del impuesto sobre la renta (ISR) se realice de forma sencilla, rápida y eficaz. El objetivo de este nuevo esquema es la </w:t>
      </w:r>
      <w:r w:rsidRPr="0002006A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MX"/>
        </w:rPr>
        <w:t xml:space="preserve">reducción de las tasas de este impuesto para que las personas que tengan menores </w:t>
      </w:r>
      <w:proofErr w:type="gramStart"/>
      <w:r w:rsidRPr="0002006A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MX"/>
        </w:rPr>
        <w:t>ingresos,</w:t>
      </w:r>
      <w:proofErr w:type="gramEnd"/>
      <w:r w:rsidRPr="0002006A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MX"/>
        </w:rPr>
        <w:t xml:space="preserve"> paguen menos</w:t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. Esta propuesta del Servicio de Administración Tributaria (SAT) se basa en las mejores prácticas internacionales.</w:t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  <w:t>La propuesta está orientada a contribuyentes personas físicas que perciben ingresos anuales menores a 3.5 millones de pesos facturados conforme a su actividad económica, pertenecientes a alguno de los cuatro regímenes fiscales que conforman el Régimen Simplificado de Confianza:</w:t>
      </w:r>
    </w:p>
    <w:p w14:paraId="32EAA3E8" w14:textId="77777777" w:rsidR="0002006A" w:rsidRPr="0002006A" w:rsidRDefault="0002006A" w:rsidP="0002006A">
      <w:pPr>
        <w:numPr>
          <w:ilvl w:val="0"/>
          <w:numId w:val="1"/>
        </w:numPr>
        <w:spacing w:before="100" w:beforeAutospacing="1" w:after="225" w:line="324" w:lineRule="atLeast"/>
        <w:ind w:left="49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Actividades empresariales y profesionales</w:t>
      </w:r>
    </w:p>
    <w:p w14:paraId="6E9ECD53" w14:textId="77777777" w:rsidR="0002006A" w:rsidRPr="0002006A" w:rsidRDefault="0002006A" w:rsidP="0002006A">
      <w:pPr>
        <w:numPr>
          <w:ilvl w:val="0"/>
          <w:numId w:val="1"/>
        </w:numPr>
        <w:spacing w:before="100" w:beforeAutospacing="1" w:after="225" w:line="324" w:lineRule="atLeast"/>
        <w:ind w:left="49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Régimen de Incorporación Fiscal</w:t>
      </w:r>
    </w:p>
    <w:p w14:paraId="5D37E562" w14:textId="77777777" w:rsidR="0002006A" w:rsidRPr="0002006A" w:rsidRDefault="0002006A" w:rsidP="0002006A">
      <w:pPr>
        <w:numPr>
          <w:ilvl w:val="0"/>
          <w:numId w:val="1"/>
        </w:numPr>
        <w:spacing w:before="100" w:beforeAutospacing="1" w:after="225" w:line="324" w:lineRule="atLeast"/>
        <w:ind w:left="49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Uso o goce de bienes inmuebles (arrendamiento)</w:t>
      </w:r>
    </w:p>
    <w:p w14:paraId="4467C0BC" w14:textId="77777777" w:rsidR="0002006A" w:rsidRPr="0002006A" w:rsidRDefault="0002006A" w:rsidP="0002006A">
      <w:pPr>
        <w:numPr>
          <w:ilvl w:val="0"/>
          <w:numId w:val="1"/>
        </w:numPr>
        <w:spacing w:before="100" w:beforeAutospacing="1" w:after="225" w:line="324" w:lineRule="atLeast"/>
        <w:ind w:left="49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Actividades Agrícolas, Ganaderas, Pesqueras o Silvícolas</w:t>
      </w:r>
    </w:p>
    <w:p w14:paraId="5B59C7DC" w14:textId="77777777" w:rsidR="0002006A" w:rsidRPr="0002006A" w:rsidRDefault="0002006A" w:rsidP="0002006A">
      <w:pPr>
        <w:spacing w:before="150" w:after="343" w:line="306" w:lineRule="atLeast"/>
        <w:rPr>
          <w:rFonts w:ascii="Arial" w:eastAsia="Times New Roman" w:hAnsi="Arial" w:cs="Arial"/>
          <w:color w:val="000000"/>
          <w:sz w:val="26"/>
          <w:szCs w:val="26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6"/>
          <w:szCs w:val="26"/>
          <w:lang w:eastAsia="es-MX"/>
        </w:rPr>
        <w:lastRenderedPageBreak/>
        <w:t>Con este Régimen se beneficia al 82 por ciento de los contribuyentes personas físicas.</w:t>
      </w:r>
      <w:r w:rsidRPr="0002006A">
        <w:rPr>
          <w:rFonts w:ascii="Arial" w:eastAsia="Times New Roman" w:hAnsi="Arial" w:cs="Arial"/>
          <w:color w:val="000000"/>
          <w:sz w:val="26"/>
          <w:szCs w:val="26"/>
          <w:lang w:eastAsia="es-MX"/>
        </w:rPr>
        <w:br/>
      </w:r>
      <w:r w:rsidRPr="0002006A">
        <w:rPr>
          <w:rFonts w:ascii="Arial" w:eastAsia="Times New Roman" w:hAnsi="Arial" w:cs="Arial"/>
          <w:color w:val="000000"/>
          <w:sz w:val="26"/>
          <w:szCs w:val="26"/>
          <w:lang w:eastAsia="es-MX"/>
        </w:rPr>
        <w:br/>
      </w:r>
      <w:r w:rsidRPr="0002006A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MX"/>
        </w:rPr>
        <w:t xml:space="preserve">Es importante acotar que los trabajadores asalariados no participarán de este </w:t>
      </w:r>
      <w:proofErr w:type="gramStart"/>
      <w:r w:rsidRPr="0002006A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MX"/>
        </w:rPr>
        <w:t>régimen</w:t>
      </w:r>
      <w:proofErr w:type="gramEnd"/>
      <w:r w:rsidRPr="0002006A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MX"/>
        </w:rPr>
        <w:t xml:space="preserve"> sino que se mantendrán bajo el Régimen de Sueldos y Salarios.</w:t>
      </w:r>
      <w:r w:rsidRPr="0002006A">
        <w:rPr>
          <w:rFonts w:ascii="Arial" w:eastAsia="Times New Roman" w:hAnsi="Arial" w:cs="Arial"/>
          <w:color w:val="000000"/>
          <w:sz w:val="26"/>
          <w:szCs w:val="26"/>
          <w:lang w:eastAsia="es-MX"/>
        </w:rPr>
        <w:br/>
      </w:r>
      <w:r w:rsidRPr="0002006A">
        <w:rPr>
          <w:rFonts w:ascii="Arial" w:eastAsia="Times New Roman" w:hAnsi="Arial" w:cs="Arial"/>
          <w:color w:val="000000"/>
          <w:sz w:val="26"/>
          <w:szCs w:val="26"/>
          <w:lang w:eastAsia="es-MX"/>
        </w:rPr>
        <w:br/>
      </w:r>
      <w:r w:rsidRPr="0002006A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MX"/>
        </w:rPr>
        <w:t>A partir de 2022, las personas que se encuentren en este nuevo esquema estarán obligados a pagar entre el 1 y el 2.5 % de sus ingresos</w:t>
      </w:r>
      <w:r w:rsidRPr="0002006A">
        <w:rPr>
          <w:rFonts w:ascii="Arial" w:eastAsia="Times New Roman" w:hAnsi="Arial" w:cs="Arial"/>
          <w:color w:val="000000"/>
          <w:sz w:val="26"/>
          <w:szCs w:val="26"/>
          <w:lang w:eastAsia="es-MX"/>
        </w:rPr>
        <w:t xml:space="preserve">. Debido a estas pequeñas tasas de pago de ISR, los contribuyentes no podrán deducir ningún tipo de gasto. Esto </w:t>
      </w:r>
      <w:proofErr w:type="gramStart"/>
      <w:r w:rsidRPr="0002006A">
        <w:rPr>
          <w:rFonts w:ascii="Arial" w:eastAsia="Times New Roman" w:hAnsi="Arial" w:cs="Arial"/>
          <w:color w:val="000000"/>
          <w:sz w:val="26"/>
          <w:szCs w:val="26"/>
          <w:lang w:eastAsia="es-MX"/>
        </w:rPr>
        <w:t>en razón de</w:t>
      </w:r>
      <w:proofErr w:type="gramEnd"/>
      <w:r w:rsidRPr="0002006A">
        <w:rPr>
          <w:rFonts w:ascii="Arial" w:eastAsia="Times New Roman" w:hAnsi="Arial" w:cs="Arial"/>
          <w:color w:val="000000"/>
          <w:sz w:val="26"/>
          <w:szCs w:val="26"/>
          <w:lang w:eastAsia="es-MX"/>
        </w:rPr>
        <w:t xml:space="preserve"> que, aun existiendo las posibilidades de deducción, la tasa efectiva del impuesto sobre la renta (ISR) a personas físicas fue de 25.4% durante 2020, lo cual representa diez veces más que la tasa máxima del Régimen Simplificado de Confianza.</w:t>
      </w:r>
      <w:r w:rsidRPr="0002006A">
        <w:rPr>
          <w:rFonts w:ascii="Arial" w:eastAsia="Times New Roman" w:hAnsi="Arial" w:cs="Arial"/>
          <w:color w:val="000000"/>
          <w:sz w:val="26"/>
          <w:szCs w:val="26"/>
          <w:lang w:eastAsia="es-MX"/>
        </w:rPr>
        <w:br/>
      </w:r>
      <w:r w:rsidRPr="0002006A">
        <w:rPr>
          <w:rFonts w:ascii="Arial" w:eastAsia="Times New Roman" w:hAnsi="Arial" w:cs="Arial"/>
          <w:color w:val="000000"/>
          <w:sz w:val="26"/>
          <w:szCs w:val="26"/>
          <w:lang w:eastAsia="es-MX"/>
        </w:rPr>
        <w:br/>
        <w:t>El nuevo Régimen Simplificado de Confianza utilizará como base los </w:t>
      </w:r>
      <w:r w:rsidRPr="0002006A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MX"/>
        </w:rPr>
        <w:t>ingresos facturados y cobrados</w:t>
      </w:r>
      <w:r w:rsidRPr="0002006A">
        <w:rPr>
          <w:rFonts w:ascii="Arial" w:eastAsia="Times New Roman" w:hAnsi="Arial" w:cs="Arial"/>
          <w:color w:val="000000"/>
          <w:sz w:val="26"/>
          <w:szCs w:val="26"/>
          <w:lang w:eastAsia="es-MX"/>
        </w:rPr>
        <w:t>, lo que permitirá disminuir la labor contable del contribuyente sin que requiera el apoyo de terceras personas. El SAT como anualmente lo realiza, hará los cálculos y ofrecerá la declaración anual precargada que estará prácticamente lista, solamente para ser cotejada y pagar.</w:t>
      </w:r>
    </w:p>
    <w:p w14:paraId="1E551B6A" w14:textId="77777777" w:rsidR="0002006A" w:rsidRPr="0002006A" w:rsidRDefault="0002006A" w:rsidP="00020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20978D7" w14:textId="77777777" w:rsidR="0002006A" w:rsidRPr="0002006A" w:rsidRDefault="0002006A" w:rsidP="00020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2006A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14:paraId="006DA6F4" w14:textId="00B0E447" w:rsidR="0002006A" w:rsidRPr="0002006A" w:rsidRDefault="0002006A" w:rsidP="00020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2006A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12285C26" wp14:editId="2EB8C02A">
            <wp:extent cx="1695450" cy="18573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A7FC3" w14:textId="77777777" w:rsidR="0002006A" w:rsidRPr="0002006A" w:rsidRDefault="0002006A" w:rsidP="0002006A">
      <w:pPr>
        <w:spacing w:before="328" w:after="150" w:line="540" w:lineRule="atLeast"/>
        <w:jc w:val="center"/>
        <w:rPr>
          <w:rFonts w:ascii="Arial" w:eastAsia="Times New Roman" w:hAnsi="Arial" w:cs="Arial"/>
          <w:color w:val="A02242"/>
          <w:sz w:val="45"/>
          <w:szCs w:val="45"/>
          <w:lang w:eastAsia="es-MX"/>
        </w:rPr>
      </w:pPr>
      <w:r w:rsidRPr="0002006A">
        <w:rPr>
          <w:rFonts w:ascii="Arial" w:eastAsia="Times New Roman" w:hAnsi="Arial" w:cs="Arial"/>
          <w:color w:val="A02242"/>
          <w:sz w:val="45"/>
          <w:szCs w:val="45"/>
          <w:lang w:eastAsia="es-MX"/>
        </w:rPr>
        <w:t>Personas morales</w:t>
      </w:r>
    </w:p>
    <w:p w14:paraId="6CF41A41" w14:textId="77777777" w:rsidR="0002006A" w:rsidRPr="0002006A" w:rsidRDefault="0002006A" w:rsidP="0002006A">
      <w:pPr>
        <w:spacing w:before="150" w:after="328" w:line="324" w:lineRule="atLeast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En el Régimen Simplificado de Confianza estarán las </w:t>
      </w:r>
      <w:r w:rsidRPr="0002006A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MX"/>
        </w:rPr>
        <w:t>personas morales</w:t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 con ingresos menores a 35 millones de pesos cuyos socios sean personas físicas. De acuerdo con los censos económicos casi la totalidad de los establecimientos del país son micro, pequeñas y medianas empresas.</w:t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  <w:t xml:space="preserve">El SAT tiene un padrón registrado de 2.1 millones de micro y pequeños </w:t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lastRenderedPageBreak/>
        <w:t>negocios cuyos ingresos brutos al año no exceden de 35 millones de pesos, lo que representa 96 por ciento del total de personas morales que serán beneficiadas al incorporarse a este nuevo régimen.</w:t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  <w:t>¿Cómo será la simplificación administrativa?</w:t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  <w:t>Se precargará la información sobre los ingresos y gastos en las declaraciones para una sencilla determinación de los impuestos.</w:t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  <w:t>¿Cuáles son los beneficios?</w:t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  <w:t>Este nuevo régimen tiene el objetivo de otorgar </w:t>
      </w:r>
      <w:r w:rsidRPr="0002006A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MX"/>
        </w:rPr>
        <w:t>mayor liquidez a estas personas morales</w:t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. Es decir, pretende que las empresas </w:t>
      </w:r>
      <w:r w:rsidRPr="0002006A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MX"/>
        </w:rPr>
        <w:t>tengan mayor cantidad de efectivo para sus gastos inmediatos</w:t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.</w:t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  <w:t>¿Cómo se obtiene esta liquidez?</w:t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  <w:t>Por dos vías:</w:t>
      </w:r>
    </w:p>
    <w:p w14:paraId="6BA020B7" w14:textId="77777777" w:rsidR="0002006A" w:rsidRPr="0002006A" w:rsidRDefault="0002006A" w:rsidP="0002006A">
      <w:pPr>
        <w:numPr>
          <w:ilvl w:val="0"/>
          <w:numId w:val="2"/>
        </w:numPr>
        <w:spacing w:before="100" w:beforeAutospacing="1" w:after="225" w:line="324" w:lineRule="atLeast"/>
        <w:ind w:left="49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Actualmente las personas morales, al ser proveedoras, pagan impuestos una vez facturadas sus ventas aun cuando sus acreedores, a quienes venden, no paguen al momento de la facturación.</w:t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  <w:t>¿Cómo cambia esto con el nuevo Régimen Simplificado de Confianza? A partir de 2022 estas personas morales pagarán sus impuestos únicamente cuando tengan ingresos por facturación efectivamente cobrada.</w:t>
      </w:r>
    </w:p>
    <w:p w14:paraId="791400B1" w14:textId="77777777" w:rsidR="0002006A" w:rsidRPr="0002006A" w:rsidRDefault="0002006A" w:rsidP="0002006A">
      <w:pPr>
        <w:numPr>
          <w:ilvl w:val="0"/>
          <w:numId w:val="2"/>
        </w:numPr>
        <w:spacing w:before="100" w:beforeAutospacing="1" w:after="225" w:line="324" w:lineRule="atLeast"/>
        <w:ind w:left="49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 xml:space="preserve">Las empresas al comprar maquinaria y ciertas inversiones que utilizan para su </w:t>
      </w:r>
      <w:proofErr w:type="gramStart"/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actividad,</w:t>
      </w:r>
      <w:proofErr w:type="gramEnd"/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 xml:space="preserve"> pueden deducirlo para pagar menores impuestos. Con el nuevo Régimen Simplificado de Confianza seguirán deduciendo, pero en menor tiempo y con mayores tasas.</w:t>
      </w:r>
    </w:p>
    <w:p w14:paraId="0F6B7C04" w14:textId="77777777" w:rsidR="0002006A" w:rsidRPr="0002006A" w:rsidRDefault="0002006A" w:rsidP="0002006A">
      <w:pPr>
        <w:spacing w:before="855" w:after="855" w:line="324" w:lineRule="atLeast"/>
        <w:rPr>
          <w:rFonts w:ascii="Arial" w:eastAsia="Times New Roman" w:hAnsi="Arial" w:cs="Arial"/>
          <w:i/>
          <w:iCs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i/>
          <w:iCs/>
          <w:color w:val="000000"/>
          <w:sz w:val="27"/>
          <w:szCs w:val="27"/>
          <w:lang w:eastAsia="es-MX"/>
        </w:rPr>
        <w:t>Entró en vigor el 1 de enero de 2022.</w:t>
      </w:r>
    </w:p>
    <w:p w14:paraId="298166B8" w14:textId="77777777" w:rsidR="0002006A" w:rsidRPr="0002006A" w:rsidRDefault="0002006A" w:rsidP="0002006A">
      <w:pPr>
        <w:spacing w:before="1680" w:after="150" w:line="774" w:lineRule="atLeast"/>
        <w:rPr>
          <w:rFonts w:ascii="Arial" w:eastAsia="Times New Roman" w:hAnsi="Arial" w:cs="Arial"/>
          <w:color w:val="BC945B"/>
          <w:sz w:val="65"/>
          <w:szCs w:val="65"/>
          <w:lang w:eastAsia="es-MX"/>
        </w:rPr>
      </w:pPr>
      <w:r w:rsidRPr="0002006A">
        <w:rPr>
          <w:rFonts w:ascii="Arial" w:eastAsia="Times New Roman" w:hAnsi="Arial" w:cs="Arial"/>
          <w:color w:val="BC945B"/>
          <w:sz w:val="65"/>
          <w:szCs w:val="65"/>
          <w:lang w:eastAsia="es-MX"/>
        </w:rPr>
        <w:lastRenderedPageBreak/>
        <w:t>¿Quiénes </w:t>
      </w:r>
      <w:r w:rsidRPr="0002006A">
        <w:rPr>
          <w:rFonts w:ascii="Arial" w:eastAsia="Times New Roman" w:hAnsi="Arial" w:cs="Arial"/>
          <w:color w:val="478170"/>
          <w:sz w:val="65"/>
          <w:szCs w:val="65"/>
          <w:lang w:eastAsia="es-MX"/>
        </w:rPr>
        <w:t>pueden</w:t>
      </w:r>
      <w:r w:rsidRPr="0002006A">
        <w:rPr>
          <w:rFonts w:ascii="Arial" w:eastAsia="Times New Roman" w:hAnsi="Arial" w:cs="Arial"/>
          <w:color w:val="BC945B"/>
          <w:sz w:val="65"/>
          <w:szCs w:val="65"/>
          <w:lang w:eastAsia="es-MX"/>
        </w:rPr>
        <w:t> tributar?</w:t>
      </w:r>
    </w:p>
    <w:p w14:paraId="644E5C56" w14:textId="77777777" w:rsidR="0002006A" w:rsidRPr="0002006A" w:rsidRDefault="0002006A" w:rsidP="0002006A">
      <w:pPr>
        <w:spacing w:after="150" w:line="240" w:lineRule="auto"/>
        <w:rPr>
          <w:rFonts w:ascii="Arial" w:eastAsia="Times New Roman" w:hAnsi="Arial" w:cs="Arial"/>
          <w:color w:val="4E4E4E"/>
          <w:sz w:val="21"/>
          <w:szCs w:val="21"/>
          <w:lang w:eastAsia="es-MX"/>
        </w:rPr>
      </w:pPr>
      <w:r w:rsidRPr="0002006A">
        <w:rPr>
          <w:rFonts w:ascii="Arial" w:eastAsia="Times New Roman" w:hAnsi="Arial" w:cs="Arial"/>
          <w:color w:val="4E4E4E"/>
          <w:sz w:val="21"/>
          <w:szCs w:val="21"/>
          <w:lang w:eastAsia="es-MX"/>
        </w:rPr>
        <w:t> </w:t>
      </w:r>
    </w:p>
    <w:p w14:paraId="2D3931A0" w14:textId="13DD7F5F" w:rsidR="0002006A" w:rsidRPr="0002006A" w:rsidRDefault="0002006A" w:rsidP="00020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2006A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3163D04F" wp14:editId="5FF34CFD">
            <wp:extent cx="1695450" cy="185737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18D90" w14:textId="77777777" w:rsidR="0002006A" w:rsidRPr="0002006A" w:rsidRDefault="0002006A" w:rsidP="0002006A">
      <w:pPr>
        <w:spacing w:before="343" w:after="150" w:line="540" w:lineRule="atLeast"/>
        <w:jc w:val="center"/>
        <w:rPr>
          <w:rFonts w:ascii="Arial" w:eastAsia="Times New Roman" w:hAnsi="Arial" w:cs="Arial"/>
          <w:color w:val="478170"/>
          <w:sz w:val="45"/>
          <w:szCs w:val="45"/>
          <w:lang w:eastAsia="es-MX"/>
        </w:rPr>
      </w:pPr>
      <w:r w:rsidRPr="0002006A">
        <w:rPr>
          <w:rFonts w:ascii="Arial" w:eastAsia="Times New Roman" w:hAnsi="Arial" w:cs="Arial"/>
          <w:color w:val="478170"/>
          <w:sz w:val="45"/>
          <w:szCs w:val="45"/>
          <w:lang w:eastAsia="es-MX"/>
        </w:rPr>
        <w:t>Personas físicas</w:t>
      </w:r>
    </w:p>
    <w:p w14:paraId="361076E6" w14:textId="77777777" w:rsidR="0002006A" w:rsidRPr="0002006A" w:rsidRDefault="0002006A" w:rsidP="0002006A">
      <w:pPr>
        <w:spacing w:before="150" w:after="343" w:line="324" w:lineRule="atLeast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Si eres persona física cuyos ingresos anuales no rebasan los 3.5 millones de pesos y realizas las siguientes actividades:</w:t>
      </w:r>
    </w:p>
    <w:p w14:paraId="30AE2820" w14:textId="77777777" w:rsidR="0002006A" w:rsidRPr="0002006A" w:rsidRDefault="0002006A" w:rsidP="0002006A">
      <w:pPr>
        <w:numPr>
          <w:ilvl w:val="0"/>
          <w:numId w:val="3"/>
        </w:numPr>
        <w:spacing w:before="100" w:beforeAutospacing="1" w:after="225" w:line="324" w:lineRule="atLeast"/>
        <w:ind w:left="49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 xml:space="preserve">Actividades empresariales y profesionales (talleres mecánicos, imprentas, restaurantes, cafeterías, cocinas económicas, cantinas, bares, tiendas de abarrotes, misceláneas, </w:t>
      </w:r>
      <w:proofErr w:type="spellStart"/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minisúpers</w:t>
      </w:r>
      <w:proofErr w:type="spellEnd"/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, escuelas, guarderías, ferreterías y refaccionarias, entre otras; así como, abogados, contadores y médicos, entre otras).</w:t>
      </w:r>
    </w:p>
    <w:p w14:paraId="244633E9" w14:textId="77777777" w:rsidR="0002006A" w:rsidRPr="0002006A" w:rsidRDefault="0002006A" w:rsidP="0002006A">
      <w:pPr>
        <w:numPr>
          <w:ilvl w:val="0"/>
          <w:numId w:val="3"/>
        </w:numPr>
        <w:spacing w:before="100" w:beforeAutospacing="1" w:after="225" w:line="324" w:lineRule="atLeast"/>
        <w:ind w:left="49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Régimen de Incorporación Fiscal.</w:t>
      </w:r>
    </w:p>
    <w:p w14:paraId="344234C8" w14:textId="77777777" w:rsidR="0002006A" w:rsidRPr="0002006A" w:rsidRDefault="0002006A" w:rsidP="0002006A">
      <w:pPr>
        <w:numPr>
          <w:ilvl w:val="0"/>
          <w:numId w:val="3"/>
        </w:numPr>
        <w:spacing w:before="100" w:beforeAutospacing="1" w:after="225" w:line="324" w:lineRule="atLeast"/>
        <w:ind w:left="49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Uso o goce de bienes inmuebles (arrendamiento de departamentos, casas y locales comerciales, entre otros).</w:t>
      </w:r>
    </w:p>
    <w:p w14:paraId="6AEFACE7" w14:textId="77777777" w:rsidR="0002006A" w:rsidRPr="0002006A" w:rsidRDefault="0002006A" w:rsidP="0002006A">
      <w:pPr>
        <w:numPr>
          <w:ilvl w:val="0"/>
          <w:numId w:val="3"/>
        </w:numPr>
        <w:spacing w:before="100" w:beforeAutospacing="1" w:after="225" w:line="324" w:lineRule="atLeast"/>
        <w:ind w:left="49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Agrícolas, Ganaderas, Silvícolas y Pesqueras.</w:t>
      </w:r>
    </w:p>
    <w:p w14:paraId="07C9085E" w14:textId="77777777" w:rsidR="0002006A" w:rsidRPr="0002006A" w:rsidRDefault="0002006A" w:rsidP="0002006A">
      <w:pPr>
        <w:spacing w:before="150" w:after="343" w:line="306" w:lineRule="atLeast"/>
        <w:rPr>
          <w:rFonts w:ascii="Arial" w:eastAsia="Times New Roman" w:hAnsi="Arial" w:cs="Arial"/>
          <w:color w:val="000000"/>
          <w:sz w:val="26"/>
          <w:szCs w:val="26"/>
          <w:lang w:eastAsia="es-MX"/>
        </w:rPr>
      </w:pPr>
      <w:r w:rsidRPr="0002006A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MX"/>
        </w:rPr>
        <w:t>Adicionalmente podrán obtener ingresos por salarios e intereses, siempre que la totalidad de los ingresos no supere el monto de los 3.5 millones de pesos al año.</w:t>
      </w:r>
    </w:p>
    <w:p w14:paraId="4652A7BC" w14:textId="77777777" w:rsidR="0002006A" w:rsidRPr="0002006A" w:rsidRDefault="0002006A" w:rsidP="0002006A">
      <w:pPr>
        <w:spacing w:before="150" w:after="343" w:line="306" w:lineRule="atLeast"/>
        <w:rPr>
          <w:rFonts w:ascii="Arial" w:eastAsia="Times New Roman" w:hAnsi="Arial" w:cs="Arial"/>
          <w:color w:val="000000"/>
          <w:sz w:val="26"/>
          <w:szCs w:val="26"/>
          <w:lang w:eastAsia="es-MX"/>
        </w:rPr>
      </w:pPr>
      <w:r w:rsidRPr="0002006A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MX"/>
        </w:rPr>
        <w:t>Nota:</w:t>
      </w:r>
      <w:r w:rsidRPr="0002006A">
        <w:rPr>
          <w:rFonts w:ascii="Arial" w:eastAsia="Times New Roman" w:hAnsi="Arial" w:cs="Arial"/>
          <w:color w:val="000000"/>
          <w:sz w:val="26"/>
          <w:szCs w:val="26"/>
          <w:lang w:eastAsia="es-MX"/>
        </w:rPr>
        <w:t> Si te encuentras en el Régimen de Incorporación Fiscal (RIF) y quieres continuar en el mismo, deberás presentar tu </w:t>
      </w:r>
      <w:hyperlink r:id="rId7" w:tgtFrame="_blank" w:history="1">
        <w:r w:rsidRPr="0002006A">
          <w:rPr>
            <w:rFonts w:ascii="Arial" w:eastAsia="Times New Roman" w:hAnsi="Arial" w:cs="Arial"/>
            <w:b/>
            <w:bCs/>
            <w:color w:val="BE955B"/>
            <w:sz w:val="27"/>
            <w:szCs w:val="27"/>
            <w:u w:val="single"/>
            <w:lang w:eastAsia="es-MX"/>
          </w:rPr>
          <w:t>Aviso de actualización de obligaciones y actividades económicas</w:t>
        </w:r>
      </w:hyperlink>
      <w:r w:rsidRPr="0002006A">
        <w:rPr>
          <w:rFonts w:ascii="Arial" w:eastAsia="Times New Roman" w:hAnsi="Arial" w:cs="Arial"/>
          <w:color w:val="000000"/>
          <w:sz w:val="26"/>
          <w:szCs w:val="26"/>
          <w:lang w:eastAsia="es-MX"/>
        </w:rPr>
        <w:t xml:space="preserve"> a más tardar el 31 de enero de 2022 con el objetivo de continuar en este régimen. Si no lo presentas, a partir del 1 de </w:t>
      </w:r>
      <w:r w:rsidRPr="0002006A">
        <w:rPr>
          <w:rFonts w:ascii="Arial" w:eastAsia="Times New Roman" w:hAnsi="Arial" w:cs="Arial"/>
          <w:color w:val="000000"/>
          <w:sz w:val="26"/>
          <w:szCs w:val="26"/>
          <w:lang w:eastAsia="es-MX"/>
        </w:rPr>
        <w:lastRenderedPageBreak/>
        <w:t>febrero pertenecerás al Régimen Simplificado de Confianza.</w:t>
      </w:r>
      <w:r w:rsidRPr="0002006A">
        <w:rPr>
          <w:rFonts w:ascii="Arial" w:eastAsia="Times New Roman" w:hAnsi="Arial" w:cs="Arial"/>
          <w:color w:val="000000"/>
          <w:sz w:val="26"/>
          <w:szCs w:val="26"/>
          <w:lang w:eastAsia="es-MX"/>
        </w:rPr>
        <w:br/>
      </w:r>
    </w:p>
    <w:p w14:paraId="6BF9A9DE" w14:textId="77777777" w:rsidR="0002006A" w:rsidRPr="0002006A" w:rsidRDefault="0002006A" w:rsidP="0002006A">
      <w:pPr>
        <w:spacing w:before="150" w:after="343" w:line="324" w:lineRule="atLeast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 xml:space="preserve">Para </w:t>
      </w:r>
      <w:proofErr w:type="gramStart"/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mayor información</w:t>
      </w:r>
      <w:proofErr w:type="gramEnd"/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 xml:space="preserve"> consulta la </w:t>
      </w:r>
      <w:hyperlink r:id="rId8" w:tgtFrame="_blank" w:history="1">
        <w:r w:rsidRPr="0002006A">
          <w:rPr>
            <w:rFonts w:ascii="Arial" w:eastAsia="Times New Roman" w:hAnsi="Arial" w:cs="Arial"/>
            <w:b/>
            <w:bCs/>
            <w:color w:val="BE955B"/>
            <w:sz w:val="27"/>
            <w:szCs w:val="27"/>
            <w:u w:val="single"/>
            <w:lang w:eastAsia="es-MX"/>
          </w:rPr>
          <w:t>Guía de Aviso de opción Régimen de Incorporación Fiscal</w:t>
        </w:r>
      </w:hyperlink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.</w:t>
      </w:r>
    </w:p>
    <w:p w14:paraId="63F689EE" w14:textId="77777777" w:rsidR="0002006A" w:rsidRPr="0002006A" w:rsidRDefault="0002006A" w:rsidP="00020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2006A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14:paraId="0416590A" w14:textId="057584EC" w:rsidR="0002006A" w:rsidRPr="0002006A" w:rsidRDefault="0002006A" w:rsidP="00020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2006A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5D3B2A82" wp14:editId="291428FF">
            <wp:extent cx="1695450" cy="1857375"/>
            <wp:effectExtent l="0" t="0" r="0" b="9525"/>
            <wp:docPr id="7" name="Imagen 7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2857C" w14:textId="77777777" w:rsidR="0002006A" w:rsidRPr="0002006A" w:rsidRDefault="0002006A" w:rsidP="0002006A">
      <w:pPr>
        <w:spacing w:before="328" w:after="150" w:line="540" w:lineRule="atLeast"/>
        <w:jc w:val="center"/>
        <w:rPr>
          <w:rFonts w:ascii="Arial" w:eastAsia="Times New Roman" w:hAnsi="Arial" w:cs="Arial"/>
          <w:color w:val="A02242"/>
          <w:sz w:val="45"/>
          <w:szCs w:val="45"/>
          <w:lang w:eastAsia="es-MX"/>
        </w:rPr>
      </w:pPr>
      <w:r w:rsidRPr="0002006A">
        <w:rPr>
          <w:rFonts w:ascii="Arial" w:eastAsia="Times New Roman" w:hAnsi="Arial" w:cs="Arial"/>
          <w:color w:val="A02242"/>
          <w:sz w:val="45"/>
          <w:szCs w:val="45"/>
          <w:lang w:eastAsia="es-MX"/>
        </w:rPr>
        <w:t>Personas morales</w:t>
      </w:r>
    </w:p>
    <w:p w14:paraId="26A7D05F" w14:textId="77777777" w:rsidR="0002006A" w:rsidRPr="0002006A" w:rsidRDefault="0002006A" w:rsidP="0002006A">
      <w:pPr>
        <w:spacing w:before="150" w:after="328" w:line="324" w:lineRule="atLeast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Si eres una empresa que se encuentra inscrita bajo el Régimen General, que presentas la declaración anual de ISR, así como declaraciones provisionales mensuales y reporta los ingresos y gastos facturados en cada periodo deberás tributar en el Régimen Simplificado de Confianza.</w:t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  <w:t>Toma en cuenta que si eres persona moral debes residir en México y estar </w:t>
      </w:r>
      <w:r w:rsidRPr="0002006A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MX"/>
        </w:rPr>
        <w:t>constituida únicamente por personas físicas</w:t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 cuyos ingresos totales en el ejercicio inmediato anterior </w:t>
      </w:r>
      <w:r w:rsidRPr="0002006A">
        <w:rPr>
          <w:rFonts w:ascii="Arial" w:eastAsia="Times New Roman" w:hAnsi="Arial" w:cs="Arial"/>
          <w:b/>
          <w:bCs/>
          <w:color w:val="000000"/>
          <w:sz w:val="27"/>
          <w:szCs w:val="27"/>
          <w:lang w:eastAsia="es-MX"/>
        </w:rPr>
        <w:t>no excedan la cantidad de 35 millones de pesos</w:t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, o bien, ser persona moral residente en México, únicamente constituida por personas físicas cuando inicies operaciones y estimes que tus ingresos no excederán dicha cantidad.</w:t>
      </w:r>
    </w:p>
    <w:p w14:paraId="0EF19CB0" w14:textId="77777777" w:rsidR="0002006A" w:rsidRPr="0002006A" w:rsidRDefault="0002006A" w:rsidP="0002006A">
      <w:pPr>
        <w:spacing w:before="150" w:after="328" w:line="306" w:lineRule="atLeast"/>
        <w:rPr>
          <w:rFonts w:ascii="Arial" w:eastAsia="Times New Roman" w:hAnsi="Arial" w:cs="Arial"/>
          <w:color w:val="000000"/>
          <w:sz w:val="26"/>
          <w:szCs w:val="26"/>
          <w:lang w:eastAsia="es-MX"/>
        </w:rPr>
      </w:pPr>
      <w:r w:rsidRPr="0002006A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MX"/>
        </w:rPr>
        <w:t>Nota:</w:t>
      </w:r>
      <w:r w:rsidRPr="0002006A">
        <w:rPr>
          <w:rFonts w:ascii="Arial" w:eastAsia="Times New Roman" w:hAnsi="Arial" w:cs="Arial"/>
          <w:color w:val="000000"/>
          <w:sz w:val="26"/>
          <w:szCs w:val="26"/>
          <w:lang w:eastAsia="es-MX"/>
        </w:rPr>
        <w:t> El Régimen Simplificado de Confianza no es compatible con algún otro régimen fiscal para personas morales.</w:t>
      </w:r>
    </w:p>
    <w:p w14:paraId="6614CD0C" w14:textId="77777777" w:rsidR="0002006A" w:rsidRPr="0002006A" w:rsidRDefault="0002006A" w:rsidP="0002006A">
      <w:pPr>
        <w:spacing w:before="1680" w:after="150" w:line="774" w:lineRule="atLeast"/>
        <w:jc w:val="right"/>
        <w:rPr>
          <w:rFonts w:ascii="Arial" w:eastAsia="Times New Roman" w:hAnsi="Arial" w:cs="Arial"/>
          <w:color w:val="BC945B"/>
          <w:sz w:val="65"/>
          <w:szCs w:val="65"/>
          <w:lang w:eastAsia="es-MX"/>
        </w:rPr>
      </w:pPr>
      <w:r w:rsidRPr="0002006A">
        <w:rPr>
          <w:rFonts w:ascii="Arial" w:eastAsia="Times New Roman" w:hAnsi="Arial" w:cs="Arial"/>
          <w:color w:val="BC945B"/>
          <w:sz w:val="65"/>
          <w:szCs w:val="65"/>
          <w:lang w:eastAsia="es-MX"/>
        </w:rPr>
        <w:lastRenderedPageBreak/>
        <w:t>¿Quiénes </w:t>
      </w:r>
      <w:r w:rsidRPr="0002006A">
        <w:rPr>
          <w:rFonts w:ascii="Arial" w:eastAsia="Times New Roman" w:hAnsi="Arial" w:cs="Arial"/>
          <w:color w:val="A02242"/>
          <w:sz w:val="65"/>
          <w:szCs w:val="65"/>
          <w:lang w:eastAsia="es-MX"/>
        </w:rPr>
        <w:t>no pueden</w:t>
      </w:r>
      <w:r w:rsidRPr="0002006A">
        <w:rPr>
          <w:rFonts w:ascii="Arial" w:eastAsia="Times New Roman" w:hAnsi="Arial" w:cs="Arial"/>
          <w:color w:val="BC945B"/>
          <w:sz w:val="65"/>
          <w:szCs w:val="65"/>
          <w:lang w:eastAsia="es-MX"/>
        </w:rPr>
        <w:t> tributar?</w:t>
      </w:r>
    </w:p>
    <w:p w14:paraId="470B3FA4" w14:textId="77777777" w:rsidR="0002006A" w:rsidRPr="0002006A" w:rsidRDefault="0002006A" w:rsidP="0002006A">
      <w:pPr>
        <w:spacing w:after="150" w:line="240" w:lineRule="auto"/>
        <w:jc w:val="right"/>
        <w:rPr>
          <w:rFonts w:ascii="Arial" w:eastAsia="Times New Roman" w:hAnsi="Arial" w:cs="Arial"/>
          <w:color w:val="4E4E4E"/>
          <w:sz w:val="21"/>
          <w:szCs w:val="21"/>
          <w:lang w:eastAsia="es-MX"/>
        </w:rPr>
      </w:pPr>
      <w:r w:rsidRPr="0002006A">
        <w:rPr>
          <w:rFonts w:ascii="Arial" w:eastAsia="Times New Roman" w:hAnsi="Arial" w:cs="Arial"/>
          <w:color w:val="4E4E4E"/>
          <w:sz w:val="21"/>
          <w:szCs w:val="21"/>
          <w:lang w:eastAsia="es-MX"/>
        </w:rPr>
        <w:t> </w:t>
      </w:r>
    </w:p>
    <w:p w14:paraId="15956134" w14:textId="05885680" w:rsidR="0002006A" w:rsidRPr="0002006A" w:rsidRDefault="0002006A" w:rsidP="00020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2006A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41DAA5D4" wp14:editId="4F839217">
            <wp:extent cx="1695450" cy="18573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ECD94" w14:textId="77777777" w:rsidR="0002006A" w:rsidRPr="0002006A" w:rsidRDefault="0002006A" w:rsidP="0002006A">
      <w:pPr>
        <w:spacing w:before="343" w:after="150" w:line="540" w:lineRule="atLeast"/>
        <w:jc w:val="center"/>
        <w:rPr>
          <w:rFonts w:ascii="Arial" w:eastAsia="Times New Roman" w:hAnsi="Arial" w:cs="Arial"/>
          <w:color w:val="478170"/>
          <w:sz w:val="45"/>
          <w:szCs w:val="45"/>
          <w:lang w:eastAsia="es-MX"/>
        </w:rPr>
      </w:pPr>
      <w:r w:rsidRPr="0002006A">
        <w:rPr>
          <w:rFonts w:ascii="Arial" w:eastAsia="Times New Roman" w:hAnsi="Arial" w:cs="Arial"/>
          <w:color w:val="478170"/>
          <w:sz w:val="45"/>
          <w:szCs w:val="45"/>
          <w:lang w:eastAsia="es-MX"/>
        </w:rPr>
        <w:t>Personas físicas</w:t>
      </w:r>
    </w:p>
    <w:p w14:paraId="18E15766" w14:textId="77777777" w:rsidR="0002006A" w:rsidRPr="0002006A" w:rsidRDefault="0002006A" w:rsidP="0002006A">
      <w:pPr>
        <w:spacing w:before="150" w:after="343" w:line="324" w:lineRule="atLeast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Cuando eres socio, accionista o integrante de personas morales o cuando estas sean partes relacionadas, excepto cuando:</w:t>
      </w:r>
    </w:p>
    <w:p w14:paraId="17E2931D" w14:textId="77777777" w:rsidR="0002006A" w:rsidRPr="0002006A" w:rsidRDefault="0002006A" w:rsidP="0002006A">
      <w:pPr>
        <w:numPr>
          <w:ilvl w:val="0"/>
          <w:numId w:val="4"/>
        </w:numPr>
        <w:spacing w:before="100" w:beforeAutospacing="1" w:after="225" w:line="324" w:lineRule="atLeast"/>
        <w:ind w:left="49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 xml:space="preserve">Sean socios, accionistas o integrantes de personas morales que tributen en el Régimen de las Personas Morales con fines no Lucrativos, de la Ley del Impuesto sobre la Renta, siempre que no perciban de </w:t>
      </w:r>
      <w:proofErr w:type="gramStart"/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estas remanente distribuible</w:t>
      </w:r>
      <w:proofErr w:type="gramEnd"/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.</w:t>
      </w:r>
    </w:p>
    <w:p w14:paraId="6A3275B5" w14:textId="77777777" w:rsidR="0002006A" w:rsidRPr="0002006A" w:rsidRDefault="0002006A" w:rsidP="0002006A">
      <w:pPr>
        <w:numPr>
          <w:ilvl w:val="0"/>
          <w:numId w:val="4"/>
        </w:numPr>
        <w:spacing w:before="100" w:beforeAutospacing="1" w:after="225" w:line="324" w:lineRule="atLeast"/>
        <w:ind w:left="49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Sean socios, accionistas o integrantes de personas morales constituidas como instituciones o sociedades civiles con el objeto de administrar fondos o cajas de ahorro, así como sociedades cooperativas de ahorro y préstamo constituidas para regular las actividades de estas; aún y cuando reciban intereses de dichas personas morales.</w:t>
      </w:r>
    </w:p>
    <w:p w14:paraId="2CDA871C" w14:textId="77777777" w:rsidR="0002006A" w:rsidRPr="0002006A" w:rsidRDefault="0002006A" w:rsidP="0002006A">
      <w:pPr>
        <w:numPr>
          <w:ilvl w:val="0"/>
          <w:numId w:val="4"/>
        </w:numPr>
        <w:spacing w:before="100" w:beforeAutospacing="1" w:after="225" w:line="324" w:lineRule="atLeast"/>
        <w:ind w:left="49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Sean socios de sociedades cooperativas de producción integradas únicamente por personas físicas dedicadas exclusivamente a actividades agrícolas, ganaderas, silvícolas y pesqueras, siempre que dichos socios cumplan por cuenta propia con sus obligaciones fiscales.</w:t>
      </w:r>
    </w:p>
    <w:p w14:paraId="567DF54B" w14:textId="77777777" w:rsidR="0002006A" w:rsidRPr="0002006A" w:rsidRDefault="0002006A" w:rsidP="0002006A">
      <w:pPr>
        <w:numPr>
          <w:ilvl w:val="0"/>
          <w:numId w:val="4"/>
        </w:numPr>
        <w:spacing w:before="100" w:beforeAutospacing="1" w:after="225" w:line="324" w:lineRule="atLeast"/>
        <w:ind w:left="49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Los residentes en el extranjero que tengan uno o varios establecimientos permanentes en el país.</w:t>
      </w:r>
    </w:p>
    <w:p w14:paraId="393819F6" w14:textId="77777777" w:rsidR="0002006A" w:rsidRPr="0002006A" w:rsidRDefault="0002006A" w:rsidP="0002006A">
      <w:pPr>
        <w:numPr>
          <w:ilvl w:val="0"/>
          <w:numId w:val="4"/>
        </w:numPr>
        <w:spacing w:before="100" w:beforeAutospacing="1" w:after="225" w:line="324" w:lineRule="atLeast"/>
        <w:ind w:left="49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 xml:space="preserve">Quienes cuenten con ingresos sujetos a regímenes fiscales preferentes, es decir, los que no se encuentran gravados en el extranjero o lo están </w:t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lastRenderedPageBreak/>
        <w:t>con un impuesto sobre la renta inferior al 75 % del que se causaría o pagaría en México.</w:t>
      </w:r>
    </w:p>
    <w:p w14:paraId="3848B26F" w14:textId="77777777" w:rsidR="0002006A" w:rsidRPr="0002006A" w:rsidRDefault="0002006A" w:rsidP="0002006A">
      <w:pPr>
        <w:numPr>
          <w:ilvl w:val="0"/>
          <w:numId w:val="4"/>
        </w:numPr>
        <w:spacing w:before="100" w:beforeAutospacing="1" w:after="225" w:line="324" w:lineRule="atLeast"/>
        <w:ind w:left="49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Los contribuyentes que apliquen otros beneficios o estímulos fiscales, por ejemplo, aquellos que por decreto reciben estímulos fiscales de la región fronteriza norte y sur.</w:t>
      </w:r>
    </w:p>
    <w:p w14:paraId="57F20B6A" w14:textId="77777777" w:rsidR="0002006A" w:rsidRPr="0002006A" w:rsidRDefault="0002006A" w:rsidP="0002006A">
      <w:pPr>
        <w:numPr>
          <w:ilvl w:val="0"/>
          <w:numId w:val="4"/>
        </w:numPr>
        <w:spacing w:before="100" w:beforeAutospacing="1" w:after="225" w:line="324" w:lineRule="atLeast"/>
        <w:ind w:left="49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Los siguientes supuestos que se asimilan a salarios:</w:t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</w:r>
    </w:p>
    <w:p w14:paraId="7BACB918" w14:textId="77777777" w:rsidR="0002006A" w:rsidRPr="0002006A" w:rsidRDefault="0002006A" w:rsidP="0002006A">
      <w:pPr>
        <w:numPr>
          <w:ilvl w:val="1"/>
          <w:numId w:val="4"/>
        </w:numPr>
        <w:spacing w:before="100" w:beforeAutospacing="1" w:after="225" w:line="324" w:lineRule="atLeast"/>
        <w:ind w:left="121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Honorarios a miembros de consejo, directivos, de vigilancia, consultivos, a administradores comisarios y gerentes generales.</w:t>
      </w:r>
    </w:p>
    <w:p w14:paraId="2C45DAE3" w14:textId="77777777" w:rsidR="0002006A" w:rsidRPr="0002006A" w:rsidRDefault="0002006A" w:rsidP="0002006A">
      <w:pPr>
        <w:numPr>
          <w:ilvl w:val="1"/>
          <w:numId w:val="4"/>
        </w:numPr>
        <w:spacing w:before="100" w:beforeAutospacing="1" w:after="225" w:line="324" w:lineRule="atLeast"/>
        <w:ind w:left="121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Los honorarios que se presten preponderantemente a un prestatario.</w:t>
      </w:r>
    </w:p>
    <w:p w14:paraId="0EEAF209" w14:textId="77777777" w:rsidR="0002006A" w:rsidRPr="0002006A" w:rsidRDefault="0002006A" w:rsidP="0002006A">
      <w:pPr>
        <w:numPr>
          <w:ilvl w:val="1"/>
          <w:numId w:val="4"/>
        </w:numPr>
        <w:spacing w:before="100" w:beforeAutospacing="1" w:after="225" w:line="324" w:lineRule="atLeast"/>
        <w:ind w:left="121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Los honorarios por servicios prestados a empresas o personas físicas con actividad empresarial cuando comuniquen por escrito al prestatario que optan por pagar el impuesto por el régimen de asimilados a salarios.</w:t>
      </w:r>
    </w:p>
    <w:p w14:paraId="66540641" w14:textId="77777777" w:rsidR="0002006A" w:rsidRPr="0002006A" w:rsidRDefault="0002006A" w:rsidP="0002006A">
      <w:pPr>
        <w:numPr>
          <w:ilvl w:val="1"/>
          <w:numId w:val="4"/>
        </w:numPr>
        <w:spacing w:before="100" w:beforeAutospacing="1" w:after="225" w:line="324" w:lineRule="atLeast"/>
        <w:ind w:left="121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Las personas físicas con actividades empresariales cuando comuniquen a su prestatario que optan por pagar el impuesto por el régimen de asimilados a salarios.</w:t>
      </w:r>
    </w:p>
    <w:p w14:paraId="4080D44A" w14:textId="77777777" w:rsidR="0002006A" w:rsidRPr="0002006A" w:rsidRDefault="0002006A" w:rsidP="00020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95CEB35" w14:textId="77777777" w:rsidR="0002006A" w:rsidRPr="0002006A" w:rsidRDefault="0002006A" w:rsidP="00020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2006A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14:paraId="6CB81F4D" w14:textId="2D06B627" w:rsidR="0002006A" w:rsidRPr="0002006A" w:rsidRDefault="0002006A" w:rsidP="00020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2006A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7C187F5E" wp14:editId="5F3C72A3">
            <wp:extent cx="1695450" cy="18573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5BF03" w14:textId="77777777" w:rsidR="0002006A" w:rsidRPr="0002006A" w:rsidRDefault="0002006A" w:rsidP="0002006A">
      <w:pPr>
        <w:spacing w:before="328" w:after="150" w:line="540" w:lineRule="atLeast"/>
        <w:jc w:val="center"/>
        <w:rPr>
          <w:rFonts w:ascii="Arial" w:eastAsia="Times New Roman" w:hAnsi="Arial" w:cs="Arial"/>
          <w:color w:val="A02242"/>
          <w:sz w:val="45"/>
          <w:szCs w:val="45"/>
          <w:lang w:eastAsia="es-MX"/>
        </w:rPr>
      </w:pPr>
      <w:r w:rsidRPr="0002006A">
        <w:rPr>
          <w:rFonts w:ascii="Arial" w:eastAsia="Times New Roman" w:hAnsi="Arial" w:cs="Arial"/>
          <w:color w:val="A02242"/>
          <w:sz w:val="45"/>
          <w:szCs w:val="45"/>
          <w:lang w:eastAsia="es-MX"/>
        </w:rPr>
        <w:t>Personas morales</w:t>
      </w:r>
    </w:p>
    <w:p w14:paraId="01CDC19E" w14:textId="77777777" w:rsidR="0002006A" w:rsidRPr="0002006A" w:rsidRDefault="0002006A" w:rsidP="0002006A">
      <w:pPr>
        <w:numPr>
          <w:ilvl w:val="0"/>
          <w:numId w:val="5"/>
        </w:numPr>
        <w:spacing w:before="100" w:beforeAutospacing="1" w:after="225" w:line="324" w:lineRule="atLeast"/>
        <w:ind w:left="49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lastRenderedPageBreak/>
        <w:t>Cuando uno o varios de sus socios, accionistas o integrantes, participen en otras sociedades mercantiles donde tengan el control de la sociedad o de su administración, o cuando sean partes relacionadas.</w:t>
      </w:r>
    </w:p>
    <w:p w14:paraId="4D8970B0" w14:textId="77777777" w:rsidR="0002006A" w:rsidRPr="0002006A" w:rsidRDefault="0002006A" w:rsidP="0002006A">
      <w:pPr>
        <w:numPr>
          <w:ilvl w:val="0"/>
          <w:numId w:val="5"/>
        </w:numPr>
        <w:spacing w:before="100" w:beforeAutospacing="1" w:after="225" w:line="324" w:lineRule="atLeast"/>
        <w:ind w:left="49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Que realicen actividades a través de fideicomiso o asociación en participación.</w:t>
      </w:r>
    </w:p>
    <w:p w14:paraId="2CB4E2D0" w14:textId="77777777" w:rsidR="0002006A" w:rsidRPr="0002006A" w:rsidRDefault="0002006A" w:rsidP="0002006A">
      <w:pPr>
        <w:numPr>
          <w:ilvl w:val="0"/>
          <w:numId w:val="5"/>
        </w:numPr>
        <w:spacing w:before="100" w:beforeAutospacing="1" w:after="225" w:line="324" w:lineRule="atLeast"/>
        <w:ind w:left="49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Que por las actividades que realicen deban tributar como:</w:t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</w:r>
    </w:p>
    <w:p w14:paraId="326E0BFF" w14:textId="77777777" w:rsidR="0002006A" w:rsidRPr="0002006A" w:rsidRDefault="0002006A" w:rsidP="0002006A">
      <w:pPr>
        <w:numPr>
          <w:ilvl w:val="1"/>
          <w:numId w:val="5"/>
        </w:numPr>
        <w:spacing w:before="100" w:beforeAutospacing="1" w:after="225" w:line="324" w:lineRule="atLeast"/>
        <w:ind w:left="121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Instituciones de crédito en el Régimen General de Ley.</w:t>
      </w:r>
    </w:p>
    <w:p w14:paraId="42CF0596" w14:textId="77777777" w:rsidR="0002006A" w:rsidRPr="0002006A" w:rsidRDefault="0002006A" w:rsidP="0002006A">
      <w:pPr>
        <w:numPr>
          <w:ilvl w:val="1"/>
          <w:numId w:val="5"/>
        </w:numPr>
        <w:spacing w:before="100" w:beforeAutospacing="1" w:after="225" w:line="324" w:lineRule="atLeast"/>
        <w:ind w:left="121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En el Régimen Opcional para Grupo de Sociedades.</w:t>
      </w:r>
    </w:p>
    <w:p w14:paraId="1B161E11" w14:textId="77777777" w:rsidR="0002006A" w:rsidRPr="0002006A" w:rsidRDefault="0002006A" w:rsidP="0002006A">
      <w:pPr>
        <w:numPr>
          <w:ilvl w:val="1"/>
          <w:numId w:val="5"/>
        </w:numPr>
        <w:spacing w:before="100" w:beforeAutospacing="1" w:after="225" w:line="324" w:lineRule="atLeast"/>
        <w:ind w:left="121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En el Régimen de los Coordinados.</w:t>
      </w:r>
    </w:p>
    <w:p w14:paraId="3A8C2C19" w14:textId="77777777" w:rsidR="0002006A" w:rsidRPr="0002006A" w:rsidRDefault="0002006A" w:rsidP="0002006A">
      <w:pPr>
        <w:numPr>
          <w:ilvl w:val="1"/>
          <w:numId w:val="5"/>
        </w:numPr>
        <w:spacing w:before="100" w:beforeAutospacing="1" w:after="225" w:line="324" w:lineRule="atLeast"/>
        <w:ind w:left="121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En el Régimen de las Actividades Agrícolas, Ganaderas, Silvícolas y Pesqueras.</w:t>
      </w:r>
    </w:p>
    <w:p w14:paraId="2E847E38" w14:textId="77777777" w:rsidR="0002006A" w:rsidRPr="0002006A" w:rsidRDefault="0002006A" w:rsidP="0002006A">
      <w:pPr>
        <w:numPr>
          <w:ilvl w:val="1"/>
          <w:numId w:val="5"/>
        </w:numPr>
        <w:spacing w:before="100" w:beforeAutospacing="1" w:after="225" w:line="324" w:lineRule="atLeast"/>
        <w:ind w:left="121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En el Régimen de las Personas Morales con Fines no Lucrativos.</w:t>
      </w:r>
    </w:p>
    <w:p w14:paraId="2BEAFA98" w14:textId="77777777" w:rsidR="0002006A" w:rsidRPr="0002006A" w:rsidRDefault="0002006A" w:rsidP="0002006A">
      <w:pPr>
        <w:numPr>
          <w:ilvl w:val="1"/>
          <w:numId w:val="5"/>
        </w:numPr>
        <w:spacing w:before="100" w:beforeAutospacing="1" w:after="225" w:line="324" w:lineRule="atLeast"/>
        <w:ind w:left="121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En el Régimen de Sociedades Cooperativas de Producción que optan por diferir sus ingresos.</w:t>
      </w:r>
    </w:p>
    <w:p w14:paraId="709C614C" w14:textId="77777777" w:rsidR="0002006A" w:rsidRPr="0002006A" w:rsidRDefault="0002006A" w:rsidP="0002006A">
      <w:pPr>
        <w:numPr>
          <w:ilvl w:val="0"/>
          <w:numId w:val="5"/>
        </w:numPr>
        <w:spacing w:before="100" w:beforeAutospacing="1" w:after="225" w:line="324" w:lineRule="atLeast"/>
        <w:ind w:left="495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Los contribuyentes que dejen de tributar en el Régimen Simplificado de Confianza.</w:t>
      </w:r>
    </w:p>
    <w:p w14:paraId="3A4D96C6" w14:textId="77777777" w:rsidR="0002006A" w:rsidRPr="0002006A" w:rsidRDefault="0002006A" w:rsidP="00020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D9DEEA3" w14:textId="77777777" w:rsidR="0002006A" w:rsidRPr="0002006A" w:rsidRDefault="0002006A" w:rsidP="0002006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2006A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14:paraId="3ED8D2B5" w14:textId="77777777" w:rsidR="0002006A" w:rsidRPr="0002006A" w:rsidRDefault="0002006A" w:rsidP="0002006A">
      <w:pPr>
        <w:spacing w:before="840" w:after="150" w:line="540" w:lineRule="atLeast"/>
        <w:jc w:val="center"/>
        <w:rPr>
          <w:rFonts w:ascii="Arial" w:eastAsia="Times New Roman" w:hAnsi="Arial" w:cs="Arial"/>
          <w:color w:val="478170"/>
          <w:sz w:val="45"/>
          <w:szCs w:val="45"/>
          <w:lang w:eastAsia="es-MX"/>
        </w:rPr>
      </w:pPr>
      <w:r w:rsidRPr="0002006A">
        <w:rPr>
          <w:rFonts w:ascii="Arial" w:eastAsia="Times New Roman" w:hAnsi="Arial" w:cs="Arial"/>
          <w:color w:val="478170"/>
          <w:sz w:val="45"/>
          <w:szCs w:val="45"/>
          <w:lang w:eastAsia="es-MX"/>
        </w:rPr>
        <w:t>¿Cómo sé en qué régimen estoy actualmente?</w:t>
      </w:r>
    </w:p>
    <w:p w14:paraId="1F184E63" w14:textId="77777777" w:rsidR="0002006A" w:rsidRPr="0002006A" w:rsidRDefault="0002006A" w:rsidP="0002006A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2006A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14:paraId="0283DD46" w14:textId="149DF48F" w:rsidR="0002006A" w:rsidRPr="0002006A" w:rsidRDefault="0002006A" w:rsidP="00020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2006A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lastRenderedPageBreak/>
        <w:drawing>
          <wp:inline distT="0" distB="0" distL="0" distR="0" wp14:anchorId="52DB32AE" wp14:editId="6B681FEF">
            <wp:extent cx="1695450" cy="18573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C677A" w14:textId="77777777" w:rsidR="0002006A" w:rsidRPr="0002006A" w:rsidRDefault="0002006A" w:rsidP="0002006A">
      <w:pPr>
        <w:spacing w:before="343" w:after="150" w:line="540" w:lineRule="atLeast"/>
        <w:jc w:val="center"/>
        <w:rPr>
          <w:rFonts w:ascii="Arial" w:eastAsia="Times New Roman" w:hAnsi="Arial" w:cs="Arial"/>
          <w:color w:val="478170"/>
          <w:sz w:val="45"/>
          <w:szCs w:val="45"/>
          <w:lang w:eastAsia="es-MX"/>
        </w:rPr>
      </w:pPr>
      <w:r w:rsidRPr="0002006A">
        <w:rPr>
          <w:rFonts w:ascii="Arial" w:eastAsia="Times New Roman" w:hAnsi="Arial" w:cs="Arial"/>
          <w:color w:val="478170"/>
          <w:sz w:val="45"/>
          <w:szCs w:val="45"/>
          <w:lang w:eastAsia="es-MX"/>
        </w:rPr>
        <w:t>Personas físicas</w:t>
      </w:r>
    </w:p>
    <w:p w14:paraId="17AA6AC6" w14:textId="77777777" w:rsidR="0002006A" w:rsidRPr="0002006A" w:rsidRDefault="0002006A" w:rsidP="0002006A">
      <w:pPr>
        <w:spacing w:before="150" w:after="343" w:line="324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Ingresar </w:t>
      </w:r>
      <w:hyperlink r:id="rId9" w:tgtFrame="_blank" w:history="1">
        <w:r w:rsidRPr="0002006A">
          <w:rPr>
            <w:rFonts w:ascii="Arial" w:eastAsia="Times New Roman" w:hAnsi="Arial" w:cs="Arial"/>
            <w:b/>
            <w:bCs/>
            <w:color w:val="BE955B"/>
            <w:sz w:val="27"/>
            <w:szCs w:val="27"/>
            <w:u w:val="single"/>
            <w:lang w:eastAsia="es-MX"/>
          </w:rPr>
          <w:t>aquí</w:t>
        </w:r>
      </w:hyperlink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 xml:space="preserve"> con tu </w:t>
      </w:r>
      <w:proofErr w:type="spellStart"/>
      <w:proofErr w:type="gramStart"/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e.firma</w:t>
      </w:r>
      <w:proofErr w:type="spellEnd"/>
      <w:proofErr w:type="gramEnd"/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, también conocida como firma electrónica o con tu Contraseña.</w:t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  <w:t>Ahí revisa tu Constancia de Situación Fiscal y verifica en la sección Régimen, a cuál perteneces. Si no cuentas con tu Contraseña, ingresa a </w:t>
      </w:r>
      <w:hyperlink r:id="rId10" w:tgtFrame="_blank" w:history="1">
        <w:r w:rsidRPr="0002006A">
          <w:rPr>
            <w:rFonts w:ascii="Arial" w:eastAsia="Times New Roman" w:hAnsi="Arial" w:cs="Arial"/>
            <w:b/>
            <w:bCs/>
            <w:color w:val="BE955B"/>
            <w:sz w:val="27"/>
            <w:szCs w:val="27"/>
            <w:u w:val="single"/>
            <w:lang w:eastAsia="es-MX"/>
          </w:rPr>
          <w:t>www.satid.sat.gob.mx</w:t>
        </w:r>
      </w:hyperlink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 para obtenerla o renovarla.</w:t>
      </w:r>
    </w:p>
    <w:p w14:paraId="7FCEE1ED" w14:textId="77777777" w:rsidR="0002006A" w:rsidRPr="0002006A" w:rsidRDefault="0002006A" w:rsidP="00020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2006A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14:paraId="3EBE438C" w14:textId="61BE5097" w:rsidR="0002006A" w:rsidRPr="0002006A" w:rsidRDefault="0002006A" w:rsidP="00020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2006A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3E342F07" wp14:editId="07BFBCE5">
            <wp:extent cx="1695450" cy="1857375"/>
            <wp:effectExtent l="0" t="0" r="0" b="9525"/>
            <wp:docPr id="3" name="Imagen 3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234D7" w14:textId="77777777" w:rsidR="0002006A" w:rsidRPr="0002006A" w:rsidRDefault="0002006A" w:rsidP="0002006A">
      <w:pPr>
        <w:spacing w:before="328" w:after="150" w:line="540" w:lineRule="atLeast"/>
        <w:jc w:val="center"/>
        <w:rPr>
          <w:rFonts w:ascii="Arial" w:eastAsia="Times New Roman" w:hAnsi="Arial" w:cs="Arial"/>
          <w:color w:val="A02242"/>
          <w:sz w:val="45"/>
          <w:szCs w:val="45"/>
          <w:lang w:eastAsia="es-MX"/>
        </w:rPr>
      </w:pPr>
      <w:r w:rsidRPr="0002006A">
        <w:rPr>
          <w:rFonts w:ascii="Arial" w:eastAsia="Times New Roman" w:hAnsi="Arial" w:cs="Arial"/>
          <w:color w:val="A02242"/>
          <w:sz w:val="45"/>
          <w:szCs w:val="45"/>
          <w:lang w:eastAsia="es-MX"/>
        </w:rPr>
        <w:t>Personas morales</w:t>
      </w:r>
    </w:p>
    <w:p w14:paraId="3521F3EC" w14:textId="77777777" w:rsidR="0002006A" w:rsidRPr="0002006A" w:rsidRDefault="0002006A" w:rsidP="0002006A">
      <w:pPr>
        <w:spacing w:before="150" w:after="328" w:line="324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es-MX"/>
        </w:rPr>
      </w:pP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Ingresar </w:t>
      </w:r>
      <w:hyperlink r:id="rId11" w:tgtFrame="_blank" w:history="1">
        <w:r w:rsidRPr="0002006A">
          <w:rPr>
            <w:rFonts w:ascii="Arial" w:eastAsia="Times New Roman" w:hAnsi="Arial" w:cs="Arial"/>
            <w:b/>
            <w:bCs/>
            <w:color w:val="BE955B"/>
            <w:sz w:val="27"/>
            <w:szCs w:val="27"/>
            <w:u w:val="single"/>
            <w:lang w:eastAsia="es-MX"/>
          </w:rPr>
          <w:t>aquí</w:t>
        </w:r>
      </w:hyperlink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 xml:space="preserve"> con tu </w:t>
      </w:r>
      <w:proofErr w:type="spellStart"/>
      <w:proofErr w:type="gramStart"/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e.firma</w:t>
      </w:r>
      <w:proofErr w:type="spellEnd"/>
      <w:proofErr w:type="gramEnd"/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t>, también conocida como firma electrónica o con tu Contraseña.</w:t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</w:r>
      <w:r w:rsidRPr="0002006A">
        <w:rPr>
          <w:rFonts w:ascii="Arial" w:eastAsia="Times New Roman" w:hAnsi="Arial" w:cs="Arial"/>
          <w:color w:val="000000"/>
          <w:sz w:val="27"/>
          <w:szCs w:val="27"/>
          <w:lang w:eastAsia="es-MX"/>
        </w:rPr>
        <w:br/>
        <w:t>Ahí revisa tu Constancia de Situación Fiscal y verifica en la sección Régimen a cuál perteneces.</w:t>
      </w:r>
    </w:p>
    <w:p w14:paraId="72977A13" w14:textId="77777777" w:rsidR="0002006A" w:rsidRPr="0002006A" w:rsidRDefault="0002006A" w:rsidP="0002006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2006A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14:paraId="383326D6" w14:textId="77777777" w:rsidR="0002006A" w:rsidRPr="0002006A" w:rsidRDefault="0002006A" w:rsidP="0002006A">
      <w:pPr>
        <w:spacing w:after="150" w:line="540" w:lineRule="atLeast"/>
        <w:jc w:val="right"/>
        <w:rPr>
          <w:rFonts w:ascii="Arial" w:eastAsia="Times New Roman" w:hAnsi="Arial" w:cs="Arial"/>
          <w:color w:val="478170"/>
          <w:sz w:val="45"/>
          <w:szCs w:val="45"/>
          <w:lang w:eastAsia="es-MX"/>
        </w:rPr>
      </w:pPr>
      <w:r w:rsidRPr="0002006A">
        <w:rPr>
          <w:rFonts w:ascii="Arial" w:eastAsia="Times New Roman" w:hAnsi="Arial" w:cs="Arial"/>
          <w:color w:val="478170"/>
          <w:sz w:val="45"/>
          <w:szCs w:val="45"/>
          <w:lang w:eastAsia="es-MX"/>
        </w:rPr>
        <w:lastRenderedPageBreak/>
        <w:t>Consultas y dudas</w:t>
      </w:r>
    </w:p>
    <w:p w14:paraId="1D65A401" w14:textId="415DC98E" w:rsidR="0002006A" w:rsidRPr="0002006A" w:rsidRDefault="0002006A" w:rsidP="00020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2006A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72FCF602" wp14:editId="6A5B0864">
            <wp:extent cx="28575" cy="666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1800C" w14:textId="77777777" w:rsidR="0002006A" w:rsidRPr="0002006A" w:rsidRDefault="0002006A" w:rsidP="00020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02006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MarcaSAT</w:t>
      </w:r>
      <w:proofErr w:type="spellEnd"/>
      <w:r w:rsidRPr="0002006A">
        <w:rPr>
          <w:rFonts w:ascii="Times New Roman" w:eastAsia="Times New Roman" w:hAnsi="Times New Roman" w:cs="Times New Roman"/>
          <w:sz w:val="24"/>
          <w:szCs w:val="24"/>
          <w:lang w:eastAsia="es-MX"/>
        </w:rPr>
        <w:t> de lunes a viernes de 8:00 a 18:30 horas, excepto días inhábiles:</w:t>
      </w:r>
      <w:r w:rsidRPr="000200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Desde cualquier parte del país </w:t>
      </w:r>
      <w:r w:rsidRPr="0002006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55 6272 2728</w:t>
      </w:r>
      <w:r w:rsidRPr="0002006A">
        <w:rPr>
          <w:rFonts w:ascii="Times New Roman" w:eastAsia="Times New Roman" w:hAnsi="Times New Roman" w:cs="Times New Roman"/>
          <w:sz w:val="24"/>
          <w:szCs w:val="24"/>
          <w:lang w:eastAsia="es-MX"/>
        </w:rPr>
        <w:t> y para el exterior del país </w:t>
      </w:r>
      <w:r w:rsidRPr="0002006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(+52) 55 6272 2728</w:t>
      </w:r>
      <w:r w:rsidRPr="0002006A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Pr="000200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Vía Chat: </w:t>
      </w:r>
      <w:hyperlink r:id="rId13" w:tgtFrame="_blank" w:history="1">
        <w:r w:rsidRPr="0002006A">
          <w:rPr>
            <w:rFonts w:ascii="Times New Roman" w:eastAsia="Times New Roman" w:hAnsi="Times New Roman" w:cs="Times New Roman"/>
            <w:b/>
            <w:bCs/>
            <w:color w:val="20876E"/>
            <w:sz w:val="24"/>
            <w:szCs w:val="24"/>
            <w:u w:val="single"/>
            <w:lang w:eastAsia="es-MX"/>
          </w:rPr>
          <w:t>http://chat.sat.gob.mx</w:t>
        </w:r>
      </w:hyperlink>
      <w:r w:rsidRPr="0002006A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Pr="0002006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Atención personal en las </w:t>
      </w:r>
      <w:hyperlink r:id="rId14" w:tgtFrame="_blank" w:history="1">
        <w:r w:rsidRPr="0002006A">
          <w:rPr>
            <w:rFonts w:ascii="Times New Roman" w:eastAsia="Times New Roman" w:hAnsi="Times New Roman" w:cs="Times New Roman"/>
            <w:b/>
            <w:bCs/>
            <w:color w:val="20876E"/>
            <w:sz w:val="24"/>
            <w:szCs w:val="24"/>
            <w:u w:val="single"/>
            <w:lang w:eastAsia="es-MX"/>
          </w:rPr>
          <w:t>Oficinas del SAT</w:t>
        </w:r>
      </w:hyperlink>
      <w:r w:rsidRPr="0002006A">
        <w:rPr>
          <w:rFonts w:ascii="Times New Roman" w:eastAsia="Times New Roman" w:hAnsi="Times New Roman" w:cs="Times New Roman"/>
          <w:sz w:val="24"/>
          <w:szCs w:val="24"/>
          <w:lang w:eastAsia="es-MX"/>
        </w:rPr>
        <w:t> ubicadas en diversas ciudades del país en los días y horarios siguientes: Lunes a viernes de 9:00 a 16:00 horas.</w:t>
      </w:r>
    </w:p>
    <w:p w14:paraId="54AA235A" w14:textId="77777777" w:rsidR="0002006A" w:rsidRPr="0002006A" w:rsidRDefault="0002006A" w:rsidP="0002006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2006A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14:paraId="1E1B091E" w14:textId="66E4AD5B" w:rsidR="0002006A" w:rsidRPr="0002006A" w:rsidRDefault="0002006A" w:rsidP="00020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2006A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6D769C17" wp14:editId="5D6AD7C6">
            <wp:extent cx="5943600" cy="12020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57885" w14:textId="77777777" w:rsidR="00931786" w:rsidRDefault="00931786"/>
    <w:sectPr w:rsidR="009317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401E0"/>
    <w:multiLevelType w:val="multilevel"/>
    <w:tmpl w:val="44AA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E242D1"/>
    <w:multiLevelType w:val="multilevel"/>
    <w:tmpl w:val="F668A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170450"/>
    <w:multiLevelType w:val="multilevel"/>
    <w:tmpl w:val="2CD2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33052"/>
    <w:multiLevelType w:val="multilevel"/>
    <w:tmpl w:val="D5A4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8E4C15"/>
    <w:multiLevelType w:val="multilevel"/>
    <w:tmpl w:val="257A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6A"/>
    <w:rsid w:val="0002006A"/>
    <w:rsid w:val="0093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5AAEA"/>
  <w15:chartTrackingRefBased/>
  <w15:docId w15:val="{959973D2-D4E0-49EA-A125-8CF42D6B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ubtituloverde">
    <w:name w:val="subtituloverde"/>
    <w:basedOn w:val="Normal"/>
    <w:rsid w:val="00020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ocontenido">
    <w:name w:val="textocontenido"/>
    <w:basedOn w:val="Normal"/>
    <w:rsid w:val="00020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2006A"/>
    <w:rPr>
      <w:b/>
      <w:bCs/>
    </w:rPr>
  </w:style>
  <w:style w:type="paragraph" w:customStyle="1" w:styleId="margenbullets">
    <w:name w:val="margenbullets"/>
    <w:basedOn w:val="Normal"/>
    <w:rsid w:val="00020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20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ocontenidochico">
    <w:name w:val="textocontenidochico"/>
    <w:basedOn w:val="Normal"/>
    <w:rsid w:val="00020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subtitulorojo">
    <w:name w:val="subtitulorojo"/>
    <w:basedOn w:val="Normal"/>
    <w:rsid w:val="00020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oprincipal02">
    <w:name w:val="textoprincipal02"/>
    <w:basedOn w:val="Normal"/>
    <w:rsid w:val="00020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colorletraverde">
    <w:name w:val="colorletraverde"/>
    <w:basedOn w:val="Fuentedeprrafopredeter"/>
    <w:rsid w:val="0002006A"/>
  </w:style>
  <w:style w:type="character" w:customStyle="1" w:styleId="colorletrarojo">
    <w:name w:val="colorletrarojo"/>
    <w:basedOn w:val="Fuentedeprrafopredeter"/>
    <w:rsid w:val="0002006A"/>
  </w:style>
  <w:style w:type="paragraph" w:customStyle="1" w:styleId="consultasydudas">
    <w:name w:val="consultasydudas"/>
    <w:basedOn w:val="Normal"/>
    <w:rsid w:val="00020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5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9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54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7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13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2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1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1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8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2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7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7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10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70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12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57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7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91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95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8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9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82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mawww.sat.gob.mx/RegimenSimplificadodeConfianza/Paginas/documentos/GuiaAvisoRIF.pdf" TargetMode="External"/><Relationship Id="rId13" Type="http://schemas.openxmlformats.org/officeDocument/2006/relationships/hyperlink" Target="http://chat.sat.gob.m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t.gob.mx/tramites/login/33758/presenta-el-aviso-de-actualizacion-de-actividades-economicas-y-obligaciones-fiscales-como-persona-fisica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sat.gob.mx/aplicacion/login/43824/reimprime-tus-acuses-del-rfc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10" Type="http://schemas.openxmlformats.org/officeDocument/2006/relationships/hyperlink" Target="https://satid.sat.gob.m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t.gob.mx/aplicacion/login/43824/reimprime-tus-acuses-del-rfc" TargetMode="External"/><Relationship Id="rId14" Type="http://schemas.openxmlformats.org/officeDocument/2006/relationships/hyperlink" Target="https://www.sat.gob.mx/personas/directorio-nacional-de-modulos-de-servicios-tributari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1604</Words>
  <Characters>8828</Characters>
  <Application>Microsoft Office Word</Application>
  <DocSecurity>0</DocSecurity>
  <Lines>73</Lines>
  <Paragraphs>20</Paragraphs>
  <ScaleCrop>false</ScaleCrop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raymundo atkinson</dc:creator>
  <cp:keywords/>
  <dc:description/>
  <cp:lastModifiedBy>raymundo atkinson</cp:lastModifiedBy>
  <cp:revision>1</cp:revision>
  <dcterms:created xsi:type="dcterms:W3CDTF">2022-03-02T00:05:00Z</dcterms:created>
  <dcterms:modified xsi:type="dcterms:W3CDTF">2022-03-02T00:06:00Z</dcterms:modified>
</cp:coreProperties>
</file>